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08B4659" w14:textId="34AD5A44" w:rsidR="00BC642A" w:rsidRDefault="003F5F42" w:rsidP="003F5F42">
      <w:pPr>
        <w:pStyle w:val="Subttulo"/>
      </w:pPr>
      <w:bookmarkStart w:id="0" w:name="_Toc13663883"/>
      <w:bookmarkStart w:id="1" w:name="_Toc13664082"/>
      <w:bookmarkStart w:id="2" w:name="_Toc13664429"/>
      <w:bookmarkStart w:id="3" w:name="_Toc13664454"/>
      <w:bookmarkStart w:id="4" w:name="_Toc13664566"/>
      <w:bookmarkStart w:id="5" w:name="_Toc13664638"/>
      <w:bookmarkStart w:id="6" w:name="_Toc13664720"/>
      <w:r>
        <w:rPr>
          <w:rFonts w:eastAsia="Times New Roman"/>
          <w:snapToGrid w:val="0"/>
          <w:lang w:eastAsia="pt-BR"/>
        </w:rPr>
        <w:t>Material Suplementar Metais e Orgânicos</w:t>
      </w:r>
    </w:p>
    <w:sdt>
      <w:sdtPr>
        <w:rPr>
          <w:rFonts w:eastAsiaTheme="minorHAnsi" w:cstheme="minorBidi"/>
          <w:b w:val="0"/>
          <w:caps w:val="0"/>
          <w:szCs w:val="22"/>
          <w:lang w:eastAsia="en-US"/>
        </w:rPr>
        <w:id w:val="-1878924496"/>
        <w:docPartObj>
          <w:docPartGallery w:val="Table of Contents"/>
          <w:docPartUnique/>
        </w:docPartObj>
      </w:sdtPr>
      <w:sdtEndPr>
        <w:rPr>
          <w:bCs/>
        </w:rPr>
      </w:sdtEndPr>
      <w:sdtContent>
        <w:p w14:paraId="53618577" w14:textId="2414AB6D" w:rsidR="00D04238" w:rsidRDefault="00D04238">
          <w:pPr>
            <w:pStyle w:val="CabealhodoSumrio"/>
          </w:pPr>
          <w:r>
            <w:t>Sumário</w:t>
          </w:r>
        </w:p>
        <w:p w14:paraId="4BD30906" w14:textId="55C682C5" w:rsidR="002C014F" w:rsidRDefault="00D04238">
          <w:pPr>
            <w:pStyle w:val="Sumrio1"/>
            <w:tabs>
              <w:tab w:val="left" w:pos="400"/>
              <w:tab w:val="right" w:leader="dot" w:pos="9061"/>
            </w:tabs>
            <w:rPr>
              <w:rFonts w:asciiTheme="minorHAnsi" w:eastAsiaTheme="minorEastAsia" w:hAnsiTheme="minorHAnsi" w:cstheme="minorBidi"/>
              <w:b w:val="0"/>
              <w:bCs w:val="0"/>
              <w:caps w:val="0"/>
              <w:noProof/>
              <w:sz w:val="22"/>
              <w:szCs w:val="22"/>
              <w:lang w:eastAsia="pt-BR"/>
            </w:rPr>
          </w:pPr>
          <w:r>
            <w:fldChar w:fldCharType="begin"/>
          </w:r>
          <w:r w:rsidRPr="002C014F">
            <w:instrText xml:space="preserve"> TOC \o "1-3" \h \z \u </w:instrText>
          </w:r>
          <w:r>
            <w:fldChar w:fldCharType="separate"/>
          </w:r>
          <w:hyperlink w:anchor="_Toc46992113" w:history="1">
            <w:r w:rsidR="002C014F" w:rsidRPr="00EC30A5">
              <w:rPr>
                <w:rStyle w:val="Hyperlink"/>
                <w:noProof/>
              </w:rPr>
              <w:t>1</w:t>
            </w:r>
            <w:r w:rsidR="002C014F">
              <w:rPr>
                <w:rFonts w:asciiTheme="minorHAnsi" w:eastAsiaTheme="minorEastAsia" w:hAnsiTheme="minorHAnsi" w:cstheme="minorBidi"/>
                <w:b w:val="0"/>
                <w:bCs w:val="0"/>
                <w:caps w:val="0"/>
                <w:noProof/>
                <w:sz w:val="22"/>
                <w:szCs w:val="22"/>
                <w:lang w:eastAsia="pt-BR"/>
              </w:rPr>
              <w:tab/>
            </w:r>
            <w:r w:rsidR="002C014F" w:rsidRPr="00EC30A5">
              <w:rPr>
                <w:rStyle w:val="Hyperlink"/>
                <w:noProof/>
              </w:rPr>
              <w:t>Resultados</w:t>
            </w:r>
            <w:r w:rsidR="002C014F">
              <w:rPr>
                <w:noProof/>
                <w:webHidden/>
              </w:rPr>
              <w:tab/>
            </w:r>
            <w:r w:rsidR="002C014F">
              <w:rPr>
                <w:noProof/>
                <w:webHidden/>
              </w:rPr>
              <w:fldChar w:fldCharType="begin"/>
            </w:r>
            <w:r w:rsidR="002C014F">
              <w:rPr>
                <w:noProof/>
                <w:webHidden/>
              </w:rPr>
              <w:instrText xml:space="preserve"> PAGEREF _Toc46992113 \h </w:instrText>
            </w:r>
            <w:r w:rsidR="002C014F">
              <w:rPr>
                <w:noProof/>
                <w:webHidden/>
              </w:rPr>
            </w:r>
            <w:r w:rsidR="002C014F">
              <w:rPr>
                <w:noProof/>
                <w:webHidden/>
              </w:rPr>
              <w:fldChar w:fldCharType="separate"/>
            </w:r>
            <w:r w:rsidR="002C014F">
              <w:rPr>
                <w:noProof/>
                <w:webHidden/>
              </w:rPr>
              <w:t>7</w:t>
            </w:r>
            <w:r w:rsidR="002C014F">
              <w:rPr>
                <w:noProof/>
                <w:webHidden/>
              </w:rPr>
              <w:fldChar w:fldCharType="end"/>
            </w:r>
          </w:hyperlink>
        </w:p>
        <w:p w14:paraId="7A0DFBCD" w14:textId="17177D09" w:rsidR="002C014F" w:rsidRDefault="002C014F">
          <w:pPr>
            <w:pStyle w:val="Sumrio2"/>
            <w:tabs>
              <w:tab w:val="left" w:pos="600"/>
              <w:tab w:val="right" w:leader="dot" w:pos="9061"/>
            </w:tabs>
            <w:rPr>
              <w:rFonts w:asciiTheme="minorHAnsi" w:eastAsiaTheme="minorEastAsia" w:hAnsiTheme="minorHAnsi" w:cstheme="minorBidi"/>
              <w:bCs w:val="0"/>
              <w:caps w:val="0"/>
              <w:noProof/>
              <w:sz w:val="22"/>
              <w:szCs w:val="22"/>
              <w:lang w:eastAsia="pt-BR"/>
            </w:rPr>
          </w:pPr>
          <w:hyperlink w:anchor="_Toc46992114" w:history="1">
            <w:r w:rsidRPr="00EC30A5">
              <w:rPr>
                <w:rStyle w:val="Hyperlink"/>
                <w:noProof/>
              </w:rPr>
              <w:t>1.1</w:t>
            </w:r>
            <w:r>
              <w:rPr>
                <w:rFonts w:asciiTheme="minorHAnsi" w:eastAsiaTheme="minorEastAsia" w:hAnsiTheme="minorHAnsi" w:cstheme="minorBidi"/>
                <w:bCs w:val="0"/>
                <w:caps w:val="0"/>
                <w:noProof/>
                <w:sz w:val="22"/>
                <w:szCs w:val="22"/>
                <w:lang w:eastAsia="pt-BR"/>
              </w:rPr>
              <w:tab/>
            </w:r>
            <w:r w:rsidRPr="00EC30A5">
              <w:rPr>
                <w:rStyle w:val="Hyperlink"/>
                <w:noProof/>
              </w:rPr>
              <w:t>METAIS EM ÁGUA</w:t>
            </w:r>
            <w:r>
              <w:rPr>
                <w:noProof/>
                <w:webHidden/>
              </w:rPr>
              <w:tab/>
            </w:r>
            <w:r>
              <w:rPr>
                <w:noProof/>
                <w:webHidden/>
              </w:rPr>
              <w:fldChar w:fldCharType="begin"/>
            </w:r>
            <w:r>
              <w:rPr>
                <w:noProof/>
                <w:webHidden/>
              </w:rPr>
              <w:instrText xml:space="preserve"> PAGEREF _Toc46992114 \h </w:instrText>
            </w:r>
            <w:r>
              <w:rPr>
                <w:noProof/>
                <w:webHidden/>
              </w:rPr>
            </w:r>
            <w:r>
              <w:rPr>
                <w:noProof/>
                <w:webHidden/>
              </w:rPr>
              <w:fldChar w:fldCharType="separate"/>
            </w:r>
            <w:r>
              <w:rPr>
                <w:noProof/>
                <w:webHidden/>
              </w:rPr>
              <w:t>7</w:t>
            </w:r>
            <w:r>
              <w:rPr>
                <w:noProof/>
                <w:webHidden/>
              </w:rPr>
              <w:fldChar w:fldCharType="end"/>
            </w:r>
          </w:hyperlink>
        </w:p>
        <w:p w14:paraId="0581D266" w14:textId="5251FC0D"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15" w:history="1">
            <w:r w:rsidRPr="00EC30A5">
              <w:rPr>
                <w:rStyle w:val="Hyperlink"/>
                <w:noProof/>
              </w:rPr>
              <w:t>1.1.1</w:t>
            </w:r>
            <w:r>
              <w:rPr>
                <w:rFonts w:asciiTheme="minorHAnsi" w:eastAsiaTheme="minorEastAsia" w:hAnsiTheme="minorHAnsi" w:cstheme="minorBidi"/>
                <w:b w:val="0"/>
                <w:noProof/>
                <w:sz w:val="22"/>
                <w:szCs w:val="22"/>
                <w:lang w:eastAsia="pt-BR"/>
              </w:rPr>
              <w:tab/>
            </w:r>
            <w:r w:rsidRPr="00EC30A5">
              <w:rPr>
                <w:rStyle w:val="Hyperlink"/>
                <w:noProof/>
              </w:rPr>
              <w:t>Metais totais</w:t>
            </w:r>
            <w:r>
              <w:rPr>
                <w:noProof/>
                <w:webHidden/>
              </w:rPr>
              <w:tab/>
            </w:r>
            <w:r>
              <w:rPr>
                <w:noProof/>
                <w:webHidden/>
              </w:rPr>
              <w:fldChar w:fldCharType="begin"/>
            </w:r>
            <w:r>
              <w:rPr>
                <w:noProof/>
                <w:webHidden/>
              </w:rPr>
              <w:instrText xml:space="preserve"> PAGEREF _Toc46992115 \h </w:instrText>
            </w:r>
            <w:r>
              <w:rPr>
                <w:noProof/>
                <w:webHidden/>
              </w:rPr>
            </w:r>
            <w:r>
              <w:rPr>
                <w:noProof/>
                <w:webHidden/>
              </w:rPr>
              <w:fldChar w:fldCharType="separate"/>
            </w:r>
            <w:r>
              <w:rPr>
                <w:noProof/>
                <w:webHidden/>
              </w:rPr>
              <w:t>7</w:t>
            </w:r>
            <w:r>
              <w:rPr>
                <w:noProof/>
                <w:webHidden/>
              </w:rPr>
              <w:fldChar w:fldCharType="end"/>
            </w:r>
          </w:hyperlink>
        </w:p>
        <w:p w14:paraId="60714E52" w14:textId="7BF5E9F2"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16" w:history="1">
            <w:r w:rsidRPr="00EC30A5">
              <w:rPr>
                <w:rStyle w:val="Hyperlink"/>
                <w:noProof/>
              </w:rPr>
              <w:t>1.1.2</w:t>
            </w:r>
            <w:r>
              <w:rPr>
                <w:rFonts w:asciiTheme="minorHAnsi" w:eastAsiaTheme="minorEastAsia" w:hAnsiTheme="minorHAnsi" w:cstheme="minorBidi"/>
                <w:b w:val="0"/>
                <w:noProof/>
                <w:sz w:val="22"/>
                <w:szCs w:val="22"/>
                <w:lang w:eastAsia="pt-BR"/>
              </w:rPr>
              <w:tab/>
            </w:r>
            <w:r w:rsidRPr="00EC30A5">
              <w:rPr>
                <w:rStyle w:val="Hyperlink"/>
                <w:noProof/>
              </w:rPr>
              <w:t>Metais dissolvidos</w:t>
            </w:r>
            <w:r>
              <w:rPr>
                <w:noProof/>
                <w:webHidden/>
              </w:rPr>
              <w:tab/>
            </w:r>
            <w:r>
              <w:rPr>
                <w:noProof/>
                <w:webHidden/>
              </w:rPr>
              <w:fldChar w:fldCharType="begin"/>
            </w:r>
            <w:r>
              <w:rPr>
                <w:noProof/>
                <w:webHidden/>
              </w:rPr>
              <w:instrText xml:space="preserve"> PAGEREF _Toc46992116 \h </w:instrText>
            </w:r>
            <w:r>
              <w:rPr>
                <w:noProof/>
                <w:webHidden/>
              </w:rPr>
            </w:r>
            <w:r>
              <w:rPr>
                <w:noProof/>
                <w:webHidden/>
              </w:rPr>
              <w:fldChar w:fldCharType="separate"/>
            </w:r>
            <w:r>
              <w:rPr>
                <w:noProof/>
                <w:webHidden/>
              </w:rPr>
              <w:t>17</w:t>
            </w:r>
            <w:r>
              <w:rPr>
                <w:noProof/>
                <w:webHidden/>
              </w:rPr>
              <w:fldChar w:fldCharType="end"/>
            </w:r>
          </w:hyperlink>
        </w:p>
        <w:p w14:paraId="75D693A0" w14:textId="3ACB0009" w:rsidR="002C014F" w:rsidRDefault="002C014F">
          <w:pPr>
            <w:pStyle w:val="Sumrio2"/>
            <w:tabs>
              <w:tab w:val="left" w:pos="600"/>
              <w:tab w:val="right" w:leader="dot" w:pos="9061"/>
            </w:tabs>
            <w:rPr>
              <w:rFonts w:asciiTheme="minorHAnsi" w:eastAsiaTheme="minorEastAsia" w:hAnsiTheme="minorHAnsi" w:cstheme="minorBidi"/>
              <w:bCs w:val="0"/>
              <w:caps w:val="0"/>
              <w:noProof/>
              <w:sz w:val="22"/>
              <w:szCs w:val="22"/>
              <w:lang w:eastAsia="pt-BR"/>
            </w:rPr>
          </w:pPr>
          <w:hyperlink w:anchor="_Toc46992117" w:history="1">
            <w:r w:rsidRPr="00EC30A5">
              <w:rPr>
                <w:rStyle w:val="Hyperlink"/>
                <w:noProof/>
              </w:rPr>
              <w:t>1.2</w:t>
            </w:r>
            <w:r>
              <w:rPr>
                <w:rFonts w:asciiTheme="minorHAnsi" w:eastAsiaTheme="minorEastAsia" w:hAnsiTheme="minorHAnsi" w:cstheme="minorBidi"/>
                <w:bCs w:val="0"/>
                <w:caps w:val="0"/>
                <w:noProof/>
                <w:sz w:val="22"/>
                <w:szCs w:val="22"/>
                <w:lang w:eastAsia="pt-BR"/>
              </w:rPr>
              <w:tab/>
            </w:r>
            <w:r w:rsidRPr="00EC30A5">
              <w:rPr>
                <w:rStyle w:val="Hyperlink"/>
                <w:noProof/>
              </w:rPr>
              <w:t>ORGÂNICOS EM ÁGUA</w:t>
            </w:r>
            <w:r>
              <w:rPr>
                <w:noProof/>
                <w:webHidden/>
              </w:rPr>
              <w:tab/>
            </w:r>
            <w:r>
              <w:rPr>
                <w:noProof/>
                <w:webHidden/>
              </w:rPr>
              <w:fldChar w:fldCharType="begin"/>
            </w:r>
            <w:r>
              <w:rPr>
                <w:noProof/>
                <w:webHidden/>
              </w:rPr>
              <w:instrText xml:space="preserve"> PAGEREF _Toc46992117 \h </w:instrText>
            </w:r>
            <w:r>
              <w:rPr>
                <w:noProof/>
                <w:webHidden/>
              </w:rPr>
            </w:r>
            <w:r>
              <w:rPr>
                <w:noProof/>
                <w:webHidden/>
              </w:rPr>
              <w:fldChar w:fldCharType="separate"/>
            </w:r>
            <w:r>
              <w:rPr>
                <w:noProof/>
                <w:webHidden/>
              </w:rPr>
              <w:t>25</w:t>
            </w:r>
            <w:r>
              <w:rPr>
                <w:noProof/>
                <w:webHidden/>
              </w:rPr>
              <w:fldChar w:fldCharType="end"/>
            </w:r>
          </w:hyperlink>
        </w:p>
        <w:p w14:paraId="43EA5A49" w14:textId="49B09899"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18" w:history="1">
            <w:r w:rsidRPr="00EC30A5">
              <w:rPr>
                <w:rStyle w:val="Hyperlink"/>
                <w:noProof/>
              </w:rPr>
              <w:t>1.2.1</w:t>
            </w:r>
            <w:r>
              <w:rPr>
                <w:rFonts w:asciiTheme="minorHAnsi" w:eastAsiaTheme="minorEastAsia" w:hAnsiTheme="minorHAnsi" w:cstheme="minorBidi"/>
                <w:b w:val="0"/>
                <w:noProof/>
                <w:sz w:val="22"/>
                <w:szCs w:val="22"/>
                <w:lang w:eastAsia="pt-BR"/>
              </w:rPr>
              <w:tab/>
            </w:r>
            <w:r w:rsidRPr="00EC30A5">
              <w:rPr>
                <w:rStyle w:val="Hyperlink"/>
                <w:noProof/>
              </w:rPr>
              <w:t>Éter-aminas e aminas</w:t>
            </w:r>
            <w:r>
              <w:rPr>
                <w:noProof/>
                <w:webHidden/>
              </w:rPr>
              <w:tab/>
            </w:r>
            <w:r>
              <w:rPr>
                <w:noProof/>
                <w:webHidden/>
              </w:rPr>
              <w:fldChar w:fldCharType="begin"/>
            </w:r>
            <w:r>
              <w:rPr>
                <w:noProof/>
                <w:webHidden/>
              </w:rPr>
              <w:instrText xml:space="preserve"> PAGEREF _Toc46992118 \h </w:instrText>
            </w:r>
            <w:r>
              <w:rPr>
                <w:noProof/>
                <w:webHidden/>
              </w:rPr>
            </w:r>
            <w:r>
              <w:rPr>
                <w:noProof/>
                <w:webHidden/>
              </w:rPr>
              <w:fldChar w:fldCharType="separate"/>
            </w:r>
            <w:r>
              <w:rPr>
                <w:noProof/>
                <w:webHidden/>
              </w:rPr>
              <w:t>25</w:t>
            </w:r>
            <w:r>
              <w:rPr>
                <w:noProof/>
                <w:webHidden/>
              </w:rPr>
              <w:fldChar w:fldCharType="end"/>
            </w:r>
          </w:hyperlink>
        </w:p>
        <w:p w14:paraId="1096716C" w14:textId="2600E3AD"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19" w:history="1">
            <w:r w:rsidRPr="00EC30A5">
              <w:rPr>
                <w:rStyle w:val="Hyperlink"/>
                <w:noProof/>
              </w:rPr>
              <w:t>1.2.2</w:t>
            </w:r>
            <w:r>
              <w:rPr>
                <w:rFonts w:asciiTheme="minorHAnsi" w:eastAsiaTheme="minorEastAsia" w:hAnsiTheme="minorHAnsi" w:cstheme="minorBidi"/>
                <w:b w:val="0"/>
                <w:noProof/>
                <w:sz w:val="22"/>
                <w:szCs w:val="22"/>
                <w:lang w:eastAsia="pt-BR"/>
              </w:rPr>
              <w:tab/>
            </w:r>
            <w:r w:rsidRPr="00EC30A5">
              <w:rPr>
                <w:rStyle w:val="Hyperlink"/>
                <w:noProof/>
              </w:rPr>
              <w:t>Bifenilos policlorados – PCBs</w:t>
            </w:r>
            <w:r>
              <w:rPr>
                <w:noProof/>
                <w:webHidden/>
              </w:rPr>
              <w:tab/>
            </w:r>
            <w:r>
              <w:rPr>
                <w:noProof/>
                <w:webHidden/>
              </w:rPr>
              <w:fldChar w:fldCharType="begin"/>
            </w:r>
            <w:r>
              <w:rPr>
                <w:noProof/>
                <w:webHidden/>
              </w:rPr>
              <w:instrText xml:space="preserve"> PAGEREF _Toc46992119 \h </w:instrText>
            </w:r>
            <w:r>
              <w:rPr>
                <w:noProof/>
                <w:webHidden/>
              </w:rPr>
            </w:r>
            <w:r>
              <w:rPr>
                <w:noProof/>
                <w:webHidden/>
              </w:rPr>
              <w:fldChar w:fldCharType="separate"/>
            </w:r>
            <w:r>
              <w:rPr>
                <w:noProof/>
                <w:webHidden/>
              </w:rPr>
              <w:t>25</w:t>
            </w:r>
            <w:r>
              <w:rPr>
                <w:noProof/>
                <w:webHidden/>
              </w:rPr>
              <w:fldChar w:fldCharType="end"/>
            </w:r>
          </w:hyperlink>
        </w:p>
        <w:p w14:paraId="7689F9F9" w14:textId="3F445EB9"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20" w:history="1">
            <w:r w:rsidRPr="00EC30A5">
              <w:rPr>
                <w:rStyle w:val="Hyperlink"/>
                <w:noProof/>
              </w:rPr>
              <w:t>1.2.3</w:t>
            </w:r>
            <w:r>
              <w:rPr>
                <w:rFonts w:asciiTheme="minorHAnsi" w:eastAsiaTheme="minorEastAsia" w:hAnsiTheme="minorHAnsi" w:cstheme="minorBidi"/>
                <w:b w:val="0"/>
                <w:noProof/>
                <w:sz w:val="22"/>
                <w:szCs w:val="22"/>
                <w:lang w:eastAsia="pt-BR"/>
              </w:rPr>
              <w:tab/>
            </w:r>
            <w:r w:rsidRPr="00EC30A5">
              <w:rPr>
                <w:rStyle w:val="Hyperlink"/>
                <w:noProof/>
              </w:rPr>
              <w:t>Pesticidas</w:t>
            </w:r>
            <w:r>
              <w:rPr>
                <w:noProof/>
                <w:webHidden/>
              </w:rPr>
              <w:tab/>
            </w:r>
            <w:r>
              <w:rPr>
                <w:noProof/>
                <w:webHidden/>
              </w:rPr>
              <w:fldChar w:fldCharType="begin"/>
            </w:r>
            <w:r>
              <w:rPr>
                <w:noProof/>
                <w:webHidden/>
              </w:rPr>
              <w:instrText xml:space="preserve"> PAGEREF _Toc46992120 \h </w:instrText>
            </w:r>
            <w:r>
              <w:rPr>
                <w:noProof/>
                <w:webHidden/>
              </w:rPr>
            </w:r>
            <w:r>
              <w:rPr>
                <w:noProof/>
                <w:webHidden/>
              </w:rPr>
              <w:fldChar w:fldCharType="separate"/>
            </w:r>
            <w:r>
              <w:rPr>
                <w:noProof/>
                <w:webHidden/>
              </w:rPr>
              <w:t>29</w:t>
            </w:r>
            <w:r>
              <w:rPr>
                <w:noProof/>
                <w:webHidden/>
              </w:rPr>
              <w:fldChar w:fldCharType="end"/>
            </w:r>
          </w:hyperlink>
        </w:p>
        <w:p w14:paraId="2647B913" w14:textId="115738FE"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21" w:history="1">
            <w:r w:rsidRPr="00EC30A5">
              <w:rPr>
                <w:rStyle w:val="Hyperlink"/>
                <w:noProof/>
              </w:rPr>
              <w:t>1.2.4</w:t>
            </w:r>
            <w:r>
              <w:rPr>
                <w:rFonts w:asciiTheme="minorHAnsi" w:eastAsiaTheme="minorEastAsia" w:hAnsiTheme="minorHAnsi" w:cstheme="minorBidi"/>
                <w:b w:val="0"/>
                <w:noProof/>
                <w:sz w:val="22"/>
                <w:szCs w:val="22"/>
                <w:lang w:eastAsia="pt-BR"/>
              </w:rPr>
              <w:tab/>
            </w:r>
            <w:r w:rsidRPr="00EC30A5">
              <w:rPr>
                <w:rStyle w:val="Hyperlink"/>
                <w:noProof/>
              </w:rPr>
              <w:t>Hidrocarbonetos Policíclicos Aromáticos – HPAs</w:t>
            </w:r>
            <w:r>
              <w:rPr>
                <w:noProof/>
                <w:webHidden/>
              </w:rPr>
              <w:tab/>
            </w:r>
            <w:r>
              <w:rPr>
                <w:noProof/>
                <w:webHidden/>
              </w:rPr>
              <w:fldChar w:fldCharType="begin"/>
            </w:r>
            <w:r>
              <w:rPr>
                <w:noProof/>
                <w:webHidden/>
              </w:rPr>
              <w:instrText xml:space="preserve"> PAGEREF _Toc46992121 \h </w:instrText>
            </w:r>
            <w:r>
              <w:rPr>
                <w:noProof/>
                <w:webHidden/>
              </w:rPr>
            </w:r>
            <w:r>
              <w:rPr>
                <w:noProof/>
                <w:webHidden/>
              </w:rPr>
              <w:fldChar w:fldCharType="separate"/>
            </w:r>
            <w:r>
              <w:rPr>
                <w:noProof/>
                <w:webHidden/>
              </w:rPr>
              <w:t>35</w:t>
            </w:r>
            <w:r>
              <w:rPr>
                <w:noProof/>
                <w:webHidden/>
              </w:rPr>
              <w:fldChar w:fldCharType="end"/>
            </w:r>
          </w:hyperlink>
        </w:p>
        <w:p w14:paraId="2893CBDF" w14:textId="2786FE9A"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22" w:history="1">
            <w:r w:rsidRPr="00EC30A5">
              <w:rPr>
                <w:rStyle w:val="Hyperlink"/>
                <w:noProof/>
              </w:rPr>
              <w:t>1.2.5</w:t>
            </w:r>
            <w:r>
              <w:rPr>
                <w:rFonts w:asciiTheme="minorHAnsi" w:eastAsiaTheme="minorEastAsia" w:hAnsiTheme="minorHAnsi" w:cstheme="minorBidi"/>
                <w:b w:val="0"/>
                <w:noProof/>
                <w:sz w:val="22"/>
                <w:szCs w:val="22"/>
                <w:lang w:eastAsia="pt-BR"/>
              </w:rPr>
              <w:tab/>
            </w:r>
            <w:r w:rsidRPr="00EC30A5">
              <w:rPr>
                <w:rStyle w:val="Hyperlink"/>
                <w:noProof/>
              </w:rPr>
              <w:t>Hidrocarbonetos Alifáticos (HA)</w:t>
            </w:r>
            <w:r>
              <w:rPr>
                <w:noProof/>
                <w:webHidden/>
              </w:rPr>
              <w:tab/>
            </w:r>
            <w:r>
              <w:rPr>
                <w:noProof/>
                <w:webHidden/>
              </w:rPr>
              <w:fldChar w:fldCharType="begin"/>
            </w:r>
            <w:r>
              <w:rPr>
                <w:noProof/>
                <w:webHidden/>
              </w:rPr>
              <w:instrText xml:space="preserve"> PAGEREF _Toc46992122 \h </w:instrText>
            </w:r>
            <w:r>
              <w:rPr>
                <w:noProof/>
                <w:webHidden/>
              </w:rPr>
            </w:r>
            <w:r>
              <w:rPr>
                <w:noProof/>
                <w:webHidden/>
              </w:rPr>
              <w:fldChar w:fldCharType="separate"/>
            </w:r>
            <w:r>
              <w:rPr>
                <w:noProof/>
                <w:webHidden/>
              </w:rPr>
              <w:t>42</w:t>
            </w:r>
            <w:r>
              <w:rPr>
                <w:noProof/>
                <w:webHidden/>
              </w:rPr>
              <w:fldChar w:fldCharType="end"/>
            </w:r>
          </w:hyperlink>
        </w:p>
        <w:p w14:paraId="4900E5CE" w14:textId="7E6D03F7"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23" w:history="1">
            <w:r w:rsidRPr="00EC30A5">
              <w:rPr>
                <w:rStyle w:val="Hyperlink"/>
                <w:noProof/>
              </w:rPr>
              <w:t>1.2.6</w:t>
            </w:r>
            <w:r>
              <w:rPr>
                <w:rFonts w:asciiTheme="minorHAnsi" w:eastAsiaTheme="minorEastAsia" w:hAnsiTheme="minorHAnsi" w:cstheme="minorBidi"/>
                <w:b w:val="0"/>
                <w:noProof/>
                <w:sz w:val="22"/>
                <w:szCs w:val="22"/>
                <w:lang w:eastAsia="pt-BR"/>
              </w:rPr>
              <w:tab/>
            </w:r>
            <w:r w:rsidRPr="00EC30A5">
              <w:rPr>
                <w:rStyle w:val="Hyperlink"/>
                <w:noProof/>
              </w:rPr>
              <w:t>Esteróis</w:t>
            </w:r>
            <w:r>
              <w:rPr>
                <w:noProof/>
                <w:webHidden/>
              </w:rPr>
              <w:tab/>
            </w:r>
            <w:r>
              <w:rPr>
                <w:noProof/>
                <w:webHidden/>
              </w:rPr>
              <w:fldChar w:fldCharType="begin"/>
            </w:r>
            <w:r>
              <w:rPr>
                <w:noProof/>
                <w:webHidden/>
              </w:rPr>
              <w:instrText xml:space="preserve"> PAGEREF _Toc46992123 \h </w:instrText>
            </w:r>
            <w:r>
              <w:rPr>
                <w:noProof/>
                <w:webHidden/>
              </w:rPr>
            </w:r>
            <w:r>
              <w:rPr>
                <w:noProof/>
                <w:webHidden/>
              </w:rPr>
              <w:fldChar w:fldCharType="separate"/>
            </w:r>
            <w:r>
              <w:rPr>
                <w:noProof/>
                <w:webHidden/>
              </w:rPr>
              <w:t>47</w:t>
            </w:r>
            <w:r>
              <w:rPr>
                <w:noProof/>
                <w:webHidden/>
              </w:rPr>
              <w:fldChar w:fldCharType="end"/>
            </w:r>
          </w:hyperlink>
        </w:p>
        <w:p w14:paraId="427CE7BA" w14:textId="1F4FD13D"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24" w:history="1">
            <w:r w:rsidRPr="00EC30A5">
              <w:rPr>
                <w:rStyle w:val="Hyperlink"/>
                <w:noProof/>
              </w:rPr>
              <w:t>1.2.7</w:t>
            </w:r>
            <w:r>
              <w:rPr>
                <w:rFonts w:asciiTheme="minorHAnsi" w:eastAsiaTheme="minorEastAsia" w:hAnsiTheme="minorHAnsi" w:cstheme="minorBidi"/>
                <w:b w:val="0"/>
                <w:noProof/>
                <w:sz w:val="22"/>
                <w:szCs w:val="22"/>
                <w:lang w:eastAsia="pt-BR"/>
              </w:rPr>
              <w:tab/>
            </w:r>
            <w:r w:rsidRPr="00EC30A5">
              <w:rPr>
                <w:rStyle w:val="Hyperlink"/>
                <w:noProof/>
              </w:rPr>
              <w:t>Fenóis</w:t>
            </w:r>
            <w:r>
              <w:rPr>
                <w:noProof/>
                <w:webHidden/>
              </w:rPr>
              <w:tab/>
            </w:r>
            <w:r>
              <w:rPr>
                <w:noProof/>
                <w:webHidden/>
              </w:rPr>
              <w:fldChar w:fldCharType="begin"/>
            </w:r>
            <w:r>
              <w:rPr>
                <w:noProof/>
                <w:webHidden/>
              </w:rPr>
              <w:instrText xml:space="preserve"> PAGEREF _Toc46992124 \h </w:instrText>
            </w:r>
            <w:r>
              <w:rPr>
                <w:noProof/>
                <w:webHidden/>
              </w:rPr>
            </w:r>
            <w:r>
              <w:rPr>
                <w:noProof/>
                <w:webHidden/>
              </w:rPr>
              <w:fldChar w:fldCharType="separate"/>
            </w:r>
            <w:r>
              <w:rPr>
                <w:noProof/>
                <w:webHidden/>
              </w:rPr>
              <w:t>51</w:t>
            </w:r>
            <w:r>
              <w:rPr>
                <w:noProof/>
                <w:webHidden/>
              </w:rPr>
              <w:fldChar w:fldCharType="end"/>
            </w:r>
          </w:hyperlink>
        </w:p>
        <w:p w14:paraId="4CD2A6E2" w14:textId="09781407" w:rsidR="002C014F" w:rsidRDefault="002C014F">
          <w:pPr>
            <w:pStyle w:val="Sumrio2"/>
            <w:tabs>
              <w:tab w:val="left" w:pos="600"/>
              <w:tab w:val="right" w:leader="dot" w:pos="9061"/>
            </w:tabs>
            <w:rPr>
              <w:rFonts w:asciiTheme="minorHAnsi" w:eastAsiaTheme="minorEastAsia" w:hAnsiTheme="minorHAnsi" w:cstheme="minorBidi"/>
              <w:bCs w:val="0"/>
              <w:caps w:val="0"/>
              <w:noProof/>
              <w:sz w:val="22"/>
              <w:szCs w:val="22"/>
              <w:lang w:eastAsia="pt-BR"/>
            </w:rPr>
          </w:pPr>
          <w:hyperlink w:anchor="_Toc46992125" w:history="1">
            <w:r w:rsidRPr="00EC30A5">
              <w:rPr>
                <w:rStyle w:val="Hyperlink"/>
                <w:b/>
                <w:noProof/>
              </w:rPr>
              <w:t>1.3</w:t>
            </w:r>
            <w:r>
              <w:rPr>
                <w:rFonts w:asciiTheme="minorHAnsi" w:eastAsiaTheme="minorEastAsia" w:hAnsiTheme="minorHAnsi" w:cstheme="minorBidi"/>
                <w:bCs w:val="0"/>
                <w:caps w:val="0"/>
                <w:noProof/>
                <w:sz w:val="22"/>
                <w:szCs w:val="22"/>
                <w:lang w:eastAsia="pt-BR"/>
              </w:rPr>
              <w:tab/>
            </w:r>
            <w:r w:rsidRPr="00EC30A5">
              <w:rPr>
                <w:rStyle w:val="Hyperlink"/>
                <w:b/>
                <w:noProof/>
              </w:rPr>
              <w:t>METAIS EM SEDIMENTOS</w:t>
            </w:r>
            <w:r>
              <w:rPr>
                <w:noProof/>
                <w:webHidden/>
              </w:rPr>
              <w:tab/>
            </w:r>
            <w:r>
              <w:rPr>
                <w:noProof/>
                <w:webHidden/>
              </w:rPr>
              <w:fldChar w:fldCharType="begin"/>
            </w:r>
            <w:r>
              <w:rPr>
                <w:noProof/>
                <w:webHidden/>
              </w:rPr>
              <w:instrText xml:space="preserve"> PAGEREF _Toc46992125 \h </w:instrText>
            </w:r>
            <w:r>
              <w:rPr>
                <w:noProof/>
                <w:webHidden/>
              </w:rPr>
            </w:r>
            <w:r>
              <w:rPr>
                <w:noProof/>
                <w:webHidden/>
              </w:rPr>
              <w:fldChar w:fldCharType="separate"/>
            </w:r>
            <w:r>
              <w:rPr>
                <w:noProof/>
                <w:webHidden/>
              </w:rPr>
              <w:t>63</w:t>
            </w:r>
            <w:r>
              <w:rPr>
                <w:noProof/>
                <w:webHidden/>
              </w:rPr>
              <w:fldChar w:fldCharType="end"/>
            </w:r>
          </w:hyperlink>
        </w:p>
        <w:p w14:paraId="4858FD8C" w14:textId="1CBE76ED"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26" w:history="1">
            <w:r w:rsidRPr="00EC30A5">
              <w:rPr>
                <w:rStyle w:val="Hyperlink"/>
                <w:noProof/>
              </w:rPr>
              <w:t>1.3.1</w:t>
            </w:r>
            <w:r>
              <w:rPr>
                <w:rFonts w:asciiTheme="minorHAnsi" w:eastAsiaTheme="minorEastAsia" w:hAnsiTheme="minorHAnsi" w:cstheme="minorBidi"/>
                <w:b w:val="0"/>
                <w:noProof/>
                <w:sz w:val="22"/>
                <w:szCs w:val="22"/>
                <w:lang w:eastAsia="pt-BR"/>
              </w:rPr>
              <w:tab/>
            </w:r>
            <w:r w:rsidRPr="00EC30A5">
              <w:rPr>
                <w:rStyle w:val="Hyperlink"/>
                <w:noProof/>
              </w:rPr>
              <w:t>Metais totais</w:t>
            </w:r>
            <w:r>
              <w:rPr>
                <w:noProof/>
                <w:webHidden/>
              </w:rPr>
              <w:tab/>
            </w:r>
            <w:r>
              <w:rPr>
                <w:noProof/>
                <w:webHidden/>
              </w:rPr>
              <w:fldChar w:fldCharType="begin"/>
            </w:r>
            <w:r>
              <w:rPr>
                <w:noProof/>
                <w:webHidden/>
              </w:rPr>
              <w:instrText xml:space="preserve"> PAGEREF _Toc46992126 \h </w:instrText>
            </w:r>
            <w:r>
              <w:rPr>
                <w:noProof/>
                <w:webHidden/>
              </w:rPr>
            </w:r>
            <w:r>
              <w:rPr>
                <w:noProof/>
                <w:webHidden/>
              </w:rPr>
              <w:fldChar w:fldCharType="separate"/>
            </w:r>
            <w:r>
              <w:rPr>
                <w:noProof/>
                <w:webHidden/>
              </w:rPr>
              <w:t>63</w:t>
            </w:r>
            <w:r>
              <w:rPr>
                <w:noProof/>
                <w:webHidden/>
              </w:rPr>
              <w:fldChar w:fldCharType="end"/>
            </w:r>
          </w:hyperlink>
        </w:p>
        <w:p w14:paraId="1903CEB6" w14:textId="738F73E6" w:rsidR="002C014F" w:rsidRDefault="002C014F">
          <w:pPr>
            <w:pStyle w:val="Sumrio2"/>
            <w:tabs>
              <w:tab w:val="left" w:pos="600"/>
              <w:tab w:val="right" w:leader="dot" w:pos="9061"/>
            </w:tabs>
            <w:rPr>
              <w:rFonts w:asciiTheme="minorHAnsi" w:eastAsiaTheme="minorEastAsia" w:hAnsiTheme="minorHAnsi" w:cstheme="minorBidi"/>
              <w:bCs w:val="0"/>
              <w:caps w:val="0"/>
              <w:noProof/>
              <w:sz w:val="22"/>
              <w:szCs w:val="22"/>
              <w:lang w:eastAsia="pt-BR"/>
            </w:rPr>
          </w:pPr>
          <w:hyperlink w:anchor="_Toc46992127" w:history="1">
            <w:r w:rsidRPr="00EC30A5">
              <w:rPr>
                <w:rStyle w:val="Hyperlink"/>
                <w:noProof/>
              </w:rPr>
              <w:t>1.4</w:t>
            </w:r>
            <w:r>
              <w:rPr>
                <w:rFonts w:asciiTheme="minorHAnsi" w:eastAsiaTheme="minorEastAsia" w:hAnsiTheme="minorHAnsi" w:cstheme="minorBidi"/>
                <w:bCs w:val="0"/>
                <w:caps w:val="0"/>
                <w:noProof/>
                <w:sz w:val="22"/>
                <w:szCs w:val="22"/>
                <w:lang w:eastAsia="pt-BR"/>
              </w:rPr>
              <w:tab/>
            </w:r>
            <w:r w:rsidRPr="00EC30A5">
              <w:rPr>
                <w:rStyle w:val="Hyperlink"/>
                <w:noProof/>
              </w:rPr>
              <w:t>ORGÂNICOS EM SEDIMENTO</w:t>
            </w:r>
            <w:r>
              <w:rPr>
                <w:noProof/>
                <w:webHidden/>
              </w:rPr>
              <w:tab/>
            </w:r>
            <w:r>
              <w:rPr>
                <w:noProof/>
                <w:webHidden/>
              </w:rPr>
              <w:fldChar w:fldCharType="begin"/>
            </w:r>
            <w:r>
              <w:rPr>
                <w:noProof/>
                <w:webHidden/>
              </w:rPr>
              <w:instrText xml:space="preserve"> PAGEREF _Toc46992127 \h </w:instrText>
            </w:r>
            <w:r>
              <w:rPr>
                <w:noProof/>
                <w:webHidden/>
              </w:rPr>
            </w:r>
            <w:r>
              <w:rPr>
                <w:noProof/>
                <w:webHidden/>
              </w:rPr>
              <w:fldChar w:fldCharType="separate"/>
            </w:r>
            <w:r>
              <w:rPr>
                <w:noProof/>
                <w:webHidden/>
              </w:rPr>
              <w:t>73</w:t>
            </w:r>
            <w:r>
              <w:rPr>
                <w:noProof/>
                <w:webHidden/>
              </w:rPr>
              <w:fldChar w:fldCharType="end"/>
            </w:r>
          </w:hyperlink>
        </w:p>
        <w:p w14:paraId="421DD058" w14:textId="322227CC"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28" w:history="1">
            <w:r w:rsidRPr="00EC30A5">
              <w:rPr>
                <w:rStyle w:val="Hyperlink"/>
                <w:noProof/>
              </w:rPr>
              <w:t>1.4.1</w:t>
            </w:r>
            <w:r>
              <w:rPr>
                <w:rFonts w:asciiTheme="minorHAnsi" w:eastAsiaTheme="minorEastAsia" w:hAnsiTheme="minorHAnsi" w:cstheme="minorBidi"/>
                <w:b w:val="0"/>
                <w:noProof/>
                <w:sz w:val="22"/>
                <w:szCs w:val="22"/>
                <w:lang w:eastAsia="pt-BR"/>
              </w:rPr>
              <w:tab/>
            </w:r>
            <w:r w:rsidRPr="00EC30A5">
              <w:rPr>
                <w:rStyle w:val="Hyperlink"/>
                <w:noProof/>
              </w:rPr>
              <w:t>Éter-aminas e aminas</w:t>
            </w:r>
            <w:r>
              <w:rPr>
                <w:noProof/>
                <w:webHidden/>
              </w:rPr>
              <w:tab/>
            </w:r>
            <w:r>
              <w:rPr>
                <w:noProof/>
                <w:webHidden/>
              </w:rPr>
              <w:fldChar w:fldCharType="begin"/>
            </w:r>
            <w:r>
              <w:rPr>
                <w:noProof/>
                <w:webHidden/>
              </w:rPr>
              <w:instrText xml:space="preserve"> PAGEREF _Toc46992128 \h </w:instrText>
            </w:r>
            <w:r>
              <w:rPr>
                <w:noProof/>
                <w:webHidden/>
              </w:rPr>
            </w:r>
            <w:r>
              <w:rPr>
                <w:noProof/>
                <w:webHidden/>
              </w:rPr>
              <w:fldChar w:fldCharType="separate"/>
            </w:r>
            <w:r>
              <w:rPr>
                <w:noProof/>
                <w:webHidden/>
              </w:rPr>
              <w:t>73</w:t>
            </w:r>
            <w:r>
              <w:rPr>
                <w:noProof/>
                <w:webHidden/>
              </w:rPr>
              <w:fldChar w:fldCharType="end"/>
            </w:r>
          </w:hyperlink>
        </w:p>
        <w:p w14:paraId="0CCE8A9A" w14:textId="33196F55"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29" w:history="1">
            <w:r w:rsidRPr="00EC30A5">
              <w:rPr>
                <w:rStyle w:val="Hyperlink"/>
                <w:noProof/>
              </w:rPr>
              <w:t>1.4.2</w:t>
            </w:r>
            <w:r>
              <w:rPr>
                <w:rFonts w:asciiTheme="minorHAnsi" w:eastAsiaTheme="minorEastAsia" w:hAnsiTheme="minorHAnsi" w:cstheme="minorBidi"/>
                <w:b w:val="0"/>
                <w:noProof/>
                <w:sz w:val="22"/>
                <w:szCs w:val="22"/>
                <w:lang w:eastAsia="pt-BR"/>
              </w:rPr>
              <w:tab/>
            </w:r>
            <w:r w:rsidRPr="00EC30A5">
              <w:rPr>
                <w:rStyle w:val="Hyperlink"/>
                <w:noProof/>
              </w:rPr>
              <w:t>Bifenilos policlorados – PCBs</w:t>
            </w:r>
            <w:r>
              <w:rPr>
                <w:noProof/>
                <w:webHidden/>
              </w:rPr>
              <w:tab/>
            </w:r>
            <w:r>
              <w:rPr>
                <w:noProof/>
                <w:webHidden/>
              </w:rPr>
              <w:fldChar w:fldCharType="begin"/>
            </w:r>
            <w:r>
              <w:rPr>
                <w:noProof/>
                <w:webHidden/>
              </w:rPr>
              <w:instrText xml:space="preserve"> PAGEREF _Toc46992129 \h </w:instrText>
            </w:r>
            <w:r>
              <w:rPr>
                <w:noProof/>
                <w:webHidden/>
              </w:rPr>
            </w:r>
            <w:r>
              <w:rPr>
                <w:noProof/>
                <w:webHidden/>
              </w:rPr>
              <w:fldChar w:fldCharType="separate"/>
            </w:r>
            <w:r>
              <w:rPr>
                <w:noProof/>
                <w:webHidden/>
              </w:rPr>
              <w:t>73</w:t>
            </w:r>
            <w:r>
              <w:rPr>
                <w:noProof/>
                <w:webHidden/>
              </w:rPr>
              <w:fldChar w:fldCharType="end"/>
            </w:r>
          </w:hyperlink>
        </w:p>
        <w:p w14:paraId="6AA7E61F" w14:textId="050A7FE3"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30" w:history="1">
            <w:r w:rsidRPr="00EC30A5">
              <w:rPr>
                <w:rStyle w:val="Hyperlink"/>
                <w:noProof/>
              </w:rPr>
              <w:t>1.4.3</w:t>
            </w:r>
            <w:r>
              <w:rPr>
                <w:rFonts w:asciiTheme="minorHAnsi" w:eastAsiaTheme="minorEastAsia" w:hAnsiTheme="minorHAnsi" w:cstheme="minorBidi"/>
                <w:b w:val="0"/>
                <w:noProof/>
                <w:sz w:val="22"/>
                <w:szCs w:val="22"/>
                <w:lang w:eastAsia="pt-BR"/>
              </w:rPr>
              <w:tab/>
            </w:r>
            <w:r w:rsidRPr="00EC30A5">
              <w:rPr>
                <w:rStyle w:val="Hyperlink"/>
                <w:noProof/>
              </w:rPr>
              <w:t>Pesticidas</w:t>
            </w:r>
            <w:r>
              <w:rPr>
                <w:noProof/>
                <w:webHidden/>
              </w:rPr>
              <w:tab/>
            </w:r>
            <w:r>
              <w:rPr>
                <w:noProof/>
                <w:webHidden/>
              </w:rPr>
              <w:fldChar w:fldCharType="begin"/>
            </w:r>
            <w:r>
              <w:rPr>
                <w:noProof/>
                <w:webHidden/>
              </w:rPr>
              <w:instrText xml:space="preserve"> PAGEREF _Toc46992130 \h </w:instrText>
            </w:r>
            <w:r>
              <w:rPr>
                <w:noProof/>
                <w:webHidden/>
              </w:rPr>
            </w:r>
            <w:r>
              <w:rPr>
                <w:noProof/>
                <w:webHidden/>
              </w:rPr>
              <w:fldChar w:fldCharType="separate"/>
            </w:r>
            <w:r>
              <w:rPr>
                <w:noProof/>
                <w:webHidden/>
              </w:rPr>
              <w:t>73</w:t>
            </w:r>
            <w:r>
              <w:rPr>
                <w:noProof/>
                <w:webHidden/>
              </w:rPr>
              <w:fldChar w:fldCharType="end"/>
            </w:r>
          </w:hyperlink>
        </w:p>
        <w:p w14:paraId="46342B99" w14:textId="69559259"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31" w:history="1">
            <w:r w:rsidRPr="00EC30A5">
              <w:rPr>
                <w:rStyle w:val="Hyperlink"/>
                <w:noProof/>
              </w:rPr>
              <w:t>1.4.4</w:t>
            </w:r>
            <w:r>
              <w:rPr>
                <w:rFonts w:asciiTheme="minorHAnsi" w:eastAsiaTheme="minorEastAsia" w:hAnsiTheme="minorHAnsi" w:cstheme="minorBidi"/>
                <w:b w:val="0"/>
                <w:noProof/>
                <w:sz w:val="22"/>
                <w:szCs w:val="22"/>
                <w:lang w:eastAsia="pt-BR"/>
              </w:rPr>
              <w:tab/>
            </w:r>
            <w:r w:rsidRPr="00EC30A5">
              <w:rPr>
                <w:rStyle w:val="Hyperlink"/>
                <w:noProof/>
              </w:rPr>
              <w:t>Hidrocarbonetos policíclicos aromáticos – HPAs</w:t>
            </w:r>
            <w:r>
              <w:rPr>
                <w:noProof/>
                <w:webHidden/>
              </w:rPr>
              <w:tab/>
            </w:r>
            <w:r>
              <w:rPr>
                <w:noProof/>
                <w:webHidden/>
              </w:rPr>
              <w:fldChar w:fldCharType="begin"/>
            </w:r>
            <w:r>
              <w:rPr>
                <w:noProof/>
                <w:webHidden/>
              </w:rPr>
              <w:instrText xml:space="preserve"> PAGEREF _Toc46992131 \h </w:instrText>
            </w:r>
            <w:r>
              <w:rPr>
                <w:noProof/>
                <w:webHidden/>
              </w:rPr>
            </w:r>
            <w:r>
              <w:rPr>
                <w:noProof/>
                <w:webHidden/>
              </w:rPr>
              <w:fldChar w:fldCharType="separate"/>
            </w:r>
            <w:r>
              <w:rPr>
                <w:noProof/>
                <w:webHidden/>
              </w:rPr>
              <w:t>73</w:t>
            </w:r>
            <w:r>
              <w:rPr>
                <w:noProof/>
                <w:webHidden/>
              </w:rPr>
              <w:fldChar w:fldCharType="end"/>
            </w:r>
          </w:hyperlink>
        </w:p>
        <w:p w14:paraId="5A795B7B" w14:textId="1F885003"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32" w:history="1">
            <w:r w:rsidRPr="00EC30A5">
              <w:rPr>
                <w:rStyle w:val="Hyperlink"/>
                <w:noProof/>
              </w:rPr>
              <w:t>1.4.5</w:t>
            </w:r>
            <w:r>
              <w:rPr>
                <w:rFonts w:asciiTheme="minorHAnsi" w:eastAsiaTheme="minorEastAsia" w:hAnsiTheme="minorHAnsi" w:cstheme="minorBidi"/>
                <w:b w:val="0"/>
                <w:noProof/>
                <w:sz w:val="22"/>
                <w:szCs w:val="22"/>
                <w:lang w:eastAsia="pt-BR"/>
              </w:rPr>
              <w:tab/>
            </w:r>
            <w:r w:rsidRPr="00EC30A5">
              <w:rPr>
                <w:rStyle w:val="Hyperlink"/>
                <w:noProof/>
              </w:rPr>
              <w:t>Hidrocarbonetos alifáticos</w:t>
            </w:r>
            <w:r>
              <w:rPr>
                <w:noProof/>
                <w:webHidden/>
              </w:rPr>
              <w:tab/>
            </w:r>
            <w:r>
              <w:rPr>
                <w:noProof/>
                <w:webHidden/>
              </w:rPr>
              <w:fldChar w:fldCharType="begin"/>
            </w:r>
            <w:r>
              <w:rPr>
                <w:noProof/>
                <w:webHidden/>
              </w:rPr>
              <w:instrText xml:space="preserve"> PAGEREF _Toc46992132 \h </w:instrText>
            </w:r>
            <w:r>
              <w:rPr>
                <w:noProof/>
                <w:webHidden/>
              </w:rPr>
            </w:r>
            <w:r>
              <w:rPr>
                <w:noProof/>
                <w:webHidden/>
              </w:rPr>
              <w:fldChar w:fldCharType="separate"/>
            </w:r>
            <w:r>
              <w:rPr>
                <w:noProof/>
                <w:webHidden/>
              </w:rPr>
              <w:t>79</w:t>
            </w:r>
            <w:r>
              <w:rPr>
                <w:noProof/>
                <w:webHidden/>
              </w:rPr>
              <w:fldChar w:fldCharType="end"/>
            </w:r>
          </w:hyperlink>
        </w:p>
        <w:p w14:paraId="7CB761C9" w14:textId="0993E2A7"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33" w:history="1">
            <w:r w:rsidRPr="00EC30A5">
              <w:rPr>
                <w:rStyle w:val="Hyperlink"/>
                <w:noProof/>
              </w:rPr>
              <w:t>1.4.6</w:t>
            </w:r>
            <w:r>
              <w:rPr>
                <w:rFonts w:asciiTheme="minorHAnsi" w:eastAsiaTheme="minorEastAsia" w:hAnsiTheme="minorHAnsi" w:cstheme="minorBidi"/>
                <w:b w:val="0"/>
                <w:noProof/>
                <w:sz w:val="22"/>
                <w:szCs w:val="22"/>
                <w:lang w:eastAsia="pt-BR"/>
              </w:rPr>
              <w:tab/>
            </w:r>
            <w:r w:rsidRPr="00EC30A5">
              <w:rPr>
                <w:rStyle w:val="Hyperlink"/>
                <w:noProof/>
              </w:rPr>
              <w:t>Esteróis</w:t>
            </w:r>
            <w:r>
              <w:rPr>
                <w:noProof/>
                <w:webHidden/>
              </w:rPr>
              <w:tab/>
            </w:r>
            <w:r>
              <w:rPr>
                <w:noProof/>
                <w:webHidden/>
              </w:rPr>
              <w:fldChar w:fldCharType="begin"/>
            </w:r>
            <w:r>
              <w:rPr>
                <w:noProof/>
                <w:webHidden/>
              </w:rPr>
              <w:instrText xml:space="preserve"> PAGEREF _Toc46992133 \h </w:instrText>
            </w:r>
            <w:r>
              <w:rPr>
                <w:noProof/>
                <w:webHidden/>
              </w:rPr>
            </w:r>
            <w:r>
              <w:rPr>
                <w:noProof/>
                <w:webHidden/>
              </w:rPr>
              <w:fldChar w:fldCharType="separate"/>
            </w:r>
            <w:r>
              <w:rPr>
                <w:noProof/>
                <w:webHidden/>
              </w:rPr>
              <w:t>83</w:t>
            </w:r>
            <w:r>
              <w:rPr>
                <w:noProof/>
                <w:webHidden/>
              </w:rPr>
              <w:fldChar w:fldCharType="end"/>
            </w:r>
          </w:hyperlink>
        </w:p>
        <w:p w14:paraId="222F4FA3" w14:textId="3CAFD4D5" w:rsidR="002C014F" w:rsidRDefault="002C014F">
          <w:pPr>
            <w:pStyle w:val="Sumrio3"/>
            <w:tabs>
              <w:tab w:val="left" w:pos="800"/>
              <w:tab w:val="right" w:leader="dot" w:pos="9061"/>
            </w:tabs>
            <w:rPr>
              <w:rFonts w:asciiTheme="minorHAnsi" w:eastAsiaTheme="minorEastAsia" w:hAnsiTheme="minorHAnsi" w:cstheme="minorBidi"/>
              <w:b w:val="0"/>
              <w:noProof/>
              <w:sz w:val="22"/>
              <w:szCs w:val="22"/>
              <w:lang w:eastAsia="pt-BR"/>
            </w:rPr>
          </w:pPr>
          <w:hyperlink w:anchor="_Toc46992134" w:history="1">
            <w:r w:rsidRPr="00EC30A5">
              <w:rPr>
                <w:rStyle w:val="Hyperlink"/>
                <w:noProof/>
              </w:rPr>
              <w:t>1.4.7</w:t>
            </w:r>
            <w:r>
              <w:rPr>
                <w:rFonts w:asciiTheme="minorHAnsi" w:eastAsiaTheme="minorEastAsia" w:hAnsiTheme="minorHAnsi" w:cstheme="minorBidi"/>
                <w:b w:val="0"/>
                <w:noProof/>
                <w:sz w:val="22"/>
                <w:szCs w:val="22"/>
                <w:lang w:eastAsia="pt-BR"/>
              </w:rPr>
              <w:tab/>
            </w:r>
            <w:r w:rsidRPr="00EC30A5">
              <w:rPr>
                <w:rStyle w:val="Hyperlink"/>
                <w:noProof/>
              </w:rPr>
              <w:t>Fenóis</w:t>
            </w:r>
            <w:r>
              <w:rPr>
                <w:noProof/>
                <w:webHidden/>
              </w:rPr>
              <w:tab/>
            </w:r>
            <w:r>
              <w:rPr>
                <w:noProof/>
                <w:webHidden/>
              </w:rPr>
              <w:fldChar w:fldCharType="begin"/>
            </w:r>
            <w:r>
              <w:rPr>
                <w:noProof/>
                <w:webHidden/>
              </w:rPr>
              <w:instrText xml:space="preserve"> PAGEREF _Toc46992134 \h </w:instrText>
            </w:r>
            <w:r>
              <w:rPr>
                <w:noProof/>
                <w:webHidden/>
              </w:rPr>
            </w:r>
            <w:r>
              <w:rPr>
                <w:noProof/>
                <w:webHidden/>
              </w:rPr>
              <w:fldChar w:fldCharType="separate"/>
            </w:r>
            <w:r>
              <w:rPr>
                <w:noProof/>
                <w:webHidden/>
              </w:rPr>
              <w:t>87</w:t>
            </w:r>
            <w:r>
              <w:rPr>
                <w:noProof/>
                <w:webHidden/>
              </w:rPr>
              <w:fldChar w:fldCharType="end"/>
            </w:r>
          </w:hyperlink>
        </w:p>
        <w:p w14:paraId="5F49FE92" w14:textId="0C0EDE2F" w:rsidR="00D04238" w:rsidRDefault="00D04238">
          <w:r>
            <w:rPr>
              <w:b/>
              <w:bCs/>
            </w:rPr>
            <w:fldChar w:fldCharType="end"/>
          </w:r>
        </w:p>
      </w:sdtContent>
    </w:sdt>
    <w:p w14:paraId="4C1EC483" w14:textId="77777777" w:rsidR="002C014F" w:rsidRDefault="002C014F">
      <w:pPr>
        <w:spacing w:before="0" w:line="259" w:lineRule="auto"/>
        <w:jc w:val="left"/>
        <w:rPr>
          <w:b/>
          <w:bCs/>
          <w:sz w:val="24"/>
          <w:szCs w:val="24"/>
        </w:rPr>
      </w:pPr>
      <w:r>
        <w:rPr>
          <w:b/>
          <w:bCs/>
          <w:sz w:val="24"/>
          <w:szCs w:val="24"/>
        </w:rPr>
        <w:br w:type="page"/>
      </w:r>
    </w:p>
    <w:p w14:paraId="6EAD5799" w14:textId="5AC4D4A6" w:rsidR="00D90B2E" w:rsidRDefault="00D90B2E" w:rsidP="001B023D">
      <w:pPr>
        <w:jc w:val="center"/>
        <w:rPr>
          <w:b/>
          <w:bCs/>
          <w:sz w:val="24"/>
          <w:szCs w:val="24"/>
        </w:rPr>
      </w:pPr>
      <w:r>
        <w:rPr>
          <w:b/>
          <w:bCs/>
          <w:sz w:val="24"/>
          <w:szCs w:val="24"/>
        </w:rPr>
        <w:lastRenderedPageBreak/>
        <w:t>Lista de Figuras</w:t>
      </w:r>
    </w:p>
    <w:p w14:paraId="07584D4E" w14:textId="467FF1E2" w:rsidR="002C014F" w:rsidRDefault="00D90B2E">
      <w:pPr>
        <w:pStyle w:val="ndicedeilustraes"/>
        <w:tabs>
          <w:tab w:val="right" w:leader="dot" w:pos="9061"/>
        </w:tabs>
        <w:rPr>
          <w:rFonts w:asciiTheme="minorHAnsi" w:eastAsiaTheme="minorEastAsia" w:hAnsiTheme="minorHAnsi"/>
          <w:noProof/>
          <w:sz w:val="22"/>
          <w:lang w:eastAsia="pt-BR"/>
        </w:rPr>
      </w:pPr>
      <w:r>
        <w:fldChar w:fldCharType="begin"/>
      </w:r>
      <w:r>
        <w:instrText xml:space="preserve"> TOC \h \z \c "Figura" </w:instrText>
      </w:r>
      <w:r>
        <w:fldChar w:fldCharType="separate"/>
      </w:r>
      <w:hyperlink w:anchor="_Toc46992135" w:history="1">
        <w:r w:rsidR="002C014F" w:rsidRPr="00601257">
          <w:rPr>
            <w:rStyle w:val="Hyperlink"/>
            <w:noProof/>
          </w:rPr>
          <w:t>Figura 1 - Variabilidade de alguns elementos inorgânicos em água metais totais nos sistemas do Rio Guandu, Rio Doce, Lagos e Lagoas.</w:t>
        </w:r>
        <w:r w:rsidR="002C014F">
          <w:rPr>
            <w:noProof/>
            <w:webHidden/>
          </w:rPr>
          <w:tab/>
        </w:r>
        <w:r w:rsidR="002C014F">
          <w:rPr>
            <w:noProof/>
            <w:webHidden/>
          </w:rPr>
          <w:fldChar w:fldCharType="begin"/>
        </w:r>
        <w:r w:rsidR="002C014F">
          <w:rPr>
            <w:noProof/>
            <w:webHidden/>
          </w:rPr>
          <w:instrText xml:space="preserve"> PAGEREF _Toc46992135 \h </w:instrText>
        </w:r>
        <w:r w:rsidR="002C014F">
          <w:rPr>
            <w:noProof/>
            <w:webHidden/>
          </w:rPr>
        </w:r>
        <w:r w:rsidR="002C014F">
          <w:rPr>
            <w:noProof/>
            <w:webHidden/>
          </w:rPr>
          <w:fldChar w:fldCharType="separate"/>
        </w:r>
        <w:r w:rsidR="002C014F">
          <w:rPr>
            <w:noProof/>
            <w:webHidden/>
          </w:rPr>
          <w:t>10</w:t>
        </w:r>
        <w:r w:rsidR="002C014F">
          <w:rPr>
            <w:noProof/>
            <w:webHidden/>
          </w:rPr>
          <w:fldChar w:fldCharType="end"/>
        </w:r>
      </w:hyperlink>
    </w:p>
    <w:p w14:paraId="619A6966" w14:textId="0732AEDD"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36" w:history="1">
        <w:r w:rsidRPr="00601257">
          <w:rPr>
            <w:rStyle w:val="Hyperlink"/>
            <w:noProof/>
          </w:rPr>
          <w:t>Figura 2 - Variabilidade de Ba e Mn para água metais totais nos sistemas do Rio Guandu, Rio Doce, Lagos e Lagoas.</w:t>
        </w:r>
        <w:r w:rsidRPr="00601257">
          <w:rPr>
            <w:rStyle w:val="Hyperlink"/>
            <w:noProof/>
          </w:rPr>
          <w:drawing>
            <wp:inline distT="0" distB="0" distL="0" distR="0" wp14:anchorId="3D44E56D" wp14:editId="17224910">
              <wp:extent cx="3730086" cy="7200000"/>
              <wp:effectExtent l="0" t="0" r="3810" b="127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30086" cy="7200000"/>
                      </a:xfrm>
                      <a:prstGeom prst="rect">
                        <a:avLst/>
                      </a:prstGeom>
                      <a:noFill/>
                      <a:ln>
                        <a:noFill/>
                      </a:ln>
                    </pic:spPr>
                  </pic:pic>
                </a:graphicData>
              </a:graphic>
            </wp:inline>
          </w:drawing>
        </w:r>
        <w:r>
          <w:rPr>
            <w:noProof/>
            <w:webHidden/>
          </w:rPr>
          <w:tab/>
        </w:r>
        <w:r>
          <w:rPr>
            <w:noProof/>
            <w:webHidden/>
          </w:rPr>
          <w:fldChar w:fldCharType="begin"/>
        </w:r>
        <w:r>
          <w:rPr>
            <w:noProof/>
            <w:webHidden/>
          </w:rPr>
          <w:instrText xml:space="preserve"> PAGEREF _Toc46992136 \h </w:instrText>
        </w:r>
        <w:r>
          <w:rPr>
            <w:noProof/>
            <w:webHidden/>
          </w:rPr>
        </w:r>
        <w:r>
          <w:rPr>
            <w:noProof/>
            <w:webHidden/>
          </w:rPr>
          <w:fldChar w:fldCharType="separate"/>
        </w:r>
        <w:r>
          <w:rPr>
            <w:noProof/>
            <w:webHidden/>
          </w:rPr>
          <w:t>11</w:t>
        </w:r>
        <w:r>
          <w:rPr>
            <w:noProof/>
            <w:webHidden/>
          </w:rPr>
          <w:fldChar w:fldCharType="end"/>
        </w:r>
      </w:hyperlink>
    </w:p>
    <w:p w14:paraId="7BCA5381" w14:textId="062A51FF"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37" w:history="1">
        <w:r w:rsidRPr="00601257">
          <w:rPr>
            <w:rStyle w:val="Hyperlink"/>
            <w:noProof/>
          </w:rPr>
          <w:t>Figura 3 - Variabilidade para Fe em água metais-totais nos sistemas do Rio Guandu, Rio Doce, Lagos e Lagoas, sendo que Al está em fase de revisão</w:t>
        </w:r>
        <w:r>
          <w:rPr>
            <w:noProof/>
            <w:webHidden/>
          </w:rPr>
          <w:tab/>
        </w:r>
        <w:r>
          <w:rPr>
            <w:noProof/>
            <w:webHidden/>
          </w:rPr>
          <w:fldChar w:fldCharType="begin"/>
        </w:r>
        <w:r>
          <w:rPr>
            <w:noProof/>
            <w:webHidden/>
          </w:rPr>
          <w:instrText xml:space="preserve"> PAGEREF _Toc46992137 \h </w:instrText>
        </w:r>
        <w:r>
          <w:rPr>
            <w:noProof/>
            <w:webHidden/>
          </w:rPr>
        </w:r>
        <w:r>
          <w:rPr>
            <w:noProof/>
            <w:webHidden/>
          </w:rPr>
          <w:fldChar w:fldCharType="separate"/>
        </w:r>
        <w:r>
          <w:rPr>
            <w:noProof/>
            <w:webHidden/>
          </w:rPr>
          <w:t>13</w:t>
        </w:r>
        <w:r>
          <w:rPr>
            <w:noProof/>
            <w:webHidden/>
          </w:rPr>
          <w:fldChar w:fldCharType="end"/>
        </w:r>
      </w:hyperlink>
    </w:p>
    <w:p w14:paraId="1BF279D2" w14:textId="5852C262"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38" w:history="1">
        <w:r w:rsidRPr="00601257">
          <w:rPr>
            <w:rStyle w:val="Hyperlink"/>
            <w:noProof/>
          </w:rPr>
          <w:t>Figura 4 - Variabilidade por ambiente para Co, Cu e Pb. em água no parâmetro de metais totais.</w:t>
        </w:r>
        <w:r>
          <w:rPr>
            <w:noProof/>
            <w:webHidden/>
          </w:rPr>
          <w:tab/>
        </w:r>
        <w:r>
          <w:rPr>
            <w:noProof/>
            <w:webHidden/>
          </w:rPr>
          <w:fldChar w:fldCharType="begin"/>
        </w:r>
        <w:r>
          <w:rPr>
            <w:noProof/>
            <w:webHidden/>
          </w:rPr>
          <w:instrText xml:space="preserve"> PAGEREF _Toc46992138 \h </w:instrText>
        </w:r>
        <w:r>
          <w:rPr>
            <w:noProof/>
            <w:webHidden/>
          </w:rPr>
        </w:r>
        <w:r>
          <w:rPr>
            <w:noProof/>
            <w:webHidden/>
          </w:rPr>
          <w:fldChar w:fldCharType="separate"/>
        </w:r>
        <w:r>
          <w:rPr>
            <w:noProof/>
            <w:webHidden/>
          </w:rPr>
          <w:t>15</w:t>
        </w:r>
        <w:r>
          <w:rPr>
            <w:noProof/>
            <w:webHidden/>
          </w:rPr>
          <w:fldChar w:fldCharType="end"/>
        </w:r>
      </w:hyperlink>
    </w:p>
    <w:p w14:paraId="40382DCD" w14:textId="7028911D"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39" w:history="1">
        <w:r w:rsidRPr="00601257">
          <w:rPr>
            <w:rStyle w:val="Hyperlink"/>
            <w:noProof/>
          </w:rPr>
          <w:t>Figura 5 - Variabilidade por ambiente para Ba, Mn e Fe. em água no parâmetro de metais totais</w:t>
        </w:r>
        <w:r>
          <w:rPr>
            <w:noProof/>
            <w:webHidden/>
          </w:rPr>
          <w:tab/>
        </w:r>
        <w:r>
          <w:rPr>
            <w:noProof/>
            <w:webHidden/>
          </w:rPr>
          <w:fldChar w:fldCharType="begin"/>
        </w:r>
        <w:r>
          <w:rPr>
            <w:noProof/>
            <w:webHidden/>
          </w:rPr>
          <w:instrText xml:space="preserve"> PAGEREF _Toc46992139 \h </w:instrText>
        </w:r>
        <w:r>
          <w:rPr>
            <w:noProof/>
            <w:webHidden/>
          </w:rPr>
        </w:r>
        <w:r>
          <w:rPr>
            <w:noProof/>
            <w:webHidden/>
          </w:rPr>
          <w:fldChar w:fldCharType="separate"/>
        </w:r>
        <w:r>
          <w:rPr>
            <w:noProof/>
            <w:webHidden/>
          </w:rPr>
          <w:t>16</w:t>
        </w:r>
        <w:r>
          <w:rPr>
            <w:noProof/>
            <w:webHidden/>
          </w:rPr>
          <w:fldChar w:fldCharType="end"/>
        </w:r>
      </w:hyperlink>
    </w:p>
    <w:p w14:paraId="4641FA5F" w14:textId="010A5647"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40" w:history="1">
        <w:r w:rsidRPr="00601257">
          <w:rPr>
            <w:rStyle w:val="Hyperlink"/>
            <w:noProof/>
          </w:rPr>
          <w:t>Figura 6 - Variabilidade de alguns elementos inorgânicos em água metais dissolvidos nos sistemas do Rio Guandu, Rio Doce, Lagos e Lagoas.</w:t>
        </w:r>
        <w:r>
          <w:rPr>
            <w:noProof/>
            <w:webHidden/>
          </w:rPr>
          <w:tab/>
        </w:r>
        <w:r>
          <w:rPr>
            <w:noProof/>
            <w:webHidden/>
          </w:rPr>
          <w:fldChar w:fldCharType="begin"/>
        </w:r>
        <w:r>
          <w:rPr>
            <w:noProof/>
            <w:webHidden/>
          </w:rPr>
          <w:instrText xml:space="preserve"> PAGEREF _Toc46992140 \h </w:instrText>
        </w:r>
        <w:r>
          <w:rPr>
            <w:noProof/>
            <w:webHidden/>
          </w:rPr>
        </w:r>
        <w:r>
          <w:rPr>
            <w:noProof/>
            <w:webHidden/>
          </w:rPr>
          <w:fldChar w:fldCharType="separate"/>
        </w:r>
        <w:r>
          <w:rPr>
            <w:noProof/>
            <w:webHidden/>
          </w:rPr>
          <w:t>20</w:t>
        </w:r>
        <w:r>
          <w:rPr>
            <w:noProof/>
            <w:webHidden/>
          </w:rPr>
          <w:fldChar w:fldCharType="end"/>
        </w:r>
      </w:hyperlink>
    </w:p>
    <w:p w14:paraId="6C2EF3BD" w14:textId="2C3B79EF"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41" w:history="1">
        <w:r w:rsidRPr="00601257">
          <w:rPr>
            <w:rStyle w:val="Hyperlink"/>
            <w:noProof/>
          </w:rPr>
          <w:t>Figura 7 - Variabilidade do Ba e Mn em água metais dissolvidos nos sistemas do Rio Guandu, Rio Doce, Lagos e Lagoas.</w:t>
        </w:r>
        <w:r>
          <w:rPr>
            <w:noProof/>
            <w:webHidden/>
          </w:rPr>
          <w:tab/>
        </w:r>
        <w:r>
          <w:rPr>
            <w:noProof/>
            <w:webHidden/>
          </w:rPr>
          <w:fldChar w:fldCharType="begin"/>
        </w:r>
        <w:r>
          <w:rPr>
            <w:noProof/>
            <w:webHidden/>
          </w:rPr>
          <w:instrText xml:space="preserve"> PAGEREF _Toc46992141 \h </w:instrText>
        </w:r>
        <w:r>
          <w:rPr>
            <w:noProof/>
            <w:webHidden/>
          </w:rPr>
        </w:r>
        <w:r>
          <w:rPr>
            <w:noProof/>
            <w:webHidden/>
          </w:rPr>
          <w:fldChar w:fldCharType="separate"/>
        </w:r>
        <w:r>
          <w:rPr>
            <w:noProof/>
            <w:webHidden/>
          </w:rPr>
          <w:t>21</w:t>
        </w:r>
        <w:r>
          <w:rPr>
            <w:noProof/>
            <w:webHidden/>
          </w:rPr>
          <w:fldChar w:fldCharType="end"/>
        </w:r>
      </w:hyperlink>
    </w:p>
    <w:p w14:paraId="604982B5" w14:textId="56DD6B53"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42" w:history="1">
        <w:r w:rsidRPr="00601257">
          <w:rPr>
            <w:rStyle w:val="Hyperlink"/>
            <w:noProof/>
          </w:rPr>
          <w:t>Figura 8 - Variabilidade do Fe em água metais dissolvidos nos sistemas do Rio Guandu, Rio Doce, Lagos e Lagoas.</w:t>
        </w:r>
        <w:r>
          <w:rPr>
            <w:noProof/>
            <w:webHidden/>
          </w:rPr>
          <w:tab/>
        </w:r>
        <w:r>
          <w:rPr>
            <w:noProof/>
            <w:webHidden/>
          </w:rPr>
          <w:fldChar w:fldCharType="begin"/>
        </w:r>
        <w:r>
          <w:rPr>
            <w:noProof/>
            <w:webHidden/>
          </w:rPr>
          <w:instrText xml:space="preserve"> PAGEREF _Toc46992142 \h </w:instrText>
        </w:r>
        <w:r>
          <w:rPr>
            <w:noProof/>
            <w:webHidden/>
          </w:rPr>
        </w:r>
        <w:r>
          <w:rPr>
            <w:noProof/>
            <w:webHidden/>
          </w:rPr>
          <w:fldChar w:fldCharType="separate"/>
        </w:r>
        <w:r>
          <w:rPr>
            <w:noProof/>
            <w:webHidden/>
          </w:rPr>
          <w:t>22</w:t>
        </w:r>
        <w:r>
          <w:rPr>
            <w:noProof/>
            <w:webHidden/>
          </w:rPr>
          <w:fldChar w:fldCharType="end"/>
        </w:r>
      </w:hyperlink>
    </w:p>
    <w:p w14:paraId="7F284D11" w14:textId="192D2170"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43" w:history="1">
        <w:r w:rsidRPr="00601257">
          <w:rPr>
            <w:rStyle w:val="Hyperlink"/>
            <w:noProof/>
          </w:rPr>
          <w:t>Figura 9 - Variabilidade por ambiente para Cu e Fe. em água no parâmetro de metais dissolvidos.</w:t>
        </w:r>
        <w:r>
          <w:rPr>
            <w:noProof/>
            <w:webHidden/>
          </w:rPr>
          <w:tab/>
        </w:r>
        <w:r>
          <w:rPr>
            <w:noProof/>
            <w:webHidden/>
          </w:rPr>
          <w:fldChar w:fldCharType="begin"/>
        </w:r>
        <w:r>
          <w:rPr>
            <w:noProof/>
            <w:webHidden/>
          </w:rPr>
          <w:instrText xml:space="preserve"> PAGEREF _Toc46992143 \h </w:instrText>
        </w:r>
        <w:r>
          <w:rPr>
            <w:noProof/>
            <w:webHidden/>
          </w:rPr>
        </w:r>
        <w:r>
          <w:rPr>
            <w:noProof/>
            <w:webHidden/>
          </w:rPr>
          <w:fldChar w:fldCharType="separate"/>
        </w:r>
        <w:r>
          <w:rPr>
            <w:noProof/>
            <w:webHidden/>
          </w:rPr>
          <w:t>25</w:t>
        </w:r>
        <w:r>
          <w:rPr>
            <w:noProof/>
            <w:webHidden/>
          </w:rPr>
          <w:fldChar w:fldCharType="end"/>
        </w:r>
      </w:hyperlink>
    </w:p>
    <w:p w14:paraId="482173EB" w14:textId="40E2BBF8"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44" w:history="1">
        <w:r w:rsidRPr="00601257">
          <w:rPr>
            <w:rStyle w:val="Hyperlink"/>
            <w:noProof/>
          </w:rPr>
          <w:t>Figura 10 - Variabilidade das concentrações de diferentes PCBs nas 235 amostras de água analisadas das 12 estações de coleta, agrupadas em ambientes Rio Guandu, Rio Doce, Lagos e Lagoas ao longo dos períodos out/18 a mar/2019 (período chuvoso- ANO 1), abr/19 a set/2019 (período de estiagem- ANO 1) e nov/19 a dez/2019 (período chuvoso- ANO de transição).</w:t>
        </w:r>
        <w:r>
          <w:rPr>
            <w:noProof/>
            <w:webHidden/>
          </w:rPr>
          <w:tab/>
        </w:r>
        <w:r>
          <w:rPr>
            <w:noProof/>
            <w:webHidden/>
          </w:rPr>
          <w:fldChar w:fldCharType="begin"/>
        </w:r>
        <w:r>
          <w:rPr>
            <w:noProof/>
            <w:webHidden/>
          </w:rPr>
          <w:instrText xml:space="preserve"> PAGEREF _Toc46992144 \h </w:instrText>
        </w:r>
        <w:r>
          <w:rPr>
            <w:noProof/>
            <w:webHidden/>
          </w:rPr>
        </w:r>
        <w:r>
          <w:rPr>
            <w:noProof/>
            <w:webHidden/>
          </w:rPr>
          <w:fldChar w:fldCharType="separate"/>
        </w:r>
        <w:r>
          <w:rPr>
            <w:noProof/>
            <w:webHidden/>
          </w:rPr>
          <w:t>28</w:t>
        </w:r>
        <w:r>
          <w:rPr>
            <w:noProof/>
            <w:webHidden/>
          </w:rPr>
          <w:fldChar w:fldCharType="end"/>
        </w:r>
      </w:hyperlink>
    </w:p>
    <w:p w14:paraId="4668EA31" w14:textId="457FE045"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45" w:history="1">
        <w:r w:rsidRPr="00601257">
          <w:rPr>
            <w:rStyle w:val="Hyperlink"/>
            <w:noProof/>
          </w:rPr>
          <w:t>Figura 11 - Variabilidade das concentrações de diferentes PCBs nas 34 amostras de água analisadas no período de transição (nov/2019 dez/2019) em diferentes ambientes (Rio Guandú, Rio Doce, Lagos e Lagoas).</w:t>
        </w:r>
        <w:r>
          <w:rPr>
            <w:noProof/>
            <w:webHidden/>
          </w:rPr>
          <w:tab/>
        </w:r>
        <w:r>
          <w:rPr>
            <w:noProof/>
            <w:webHidden/>
          </w:rPr>
          <w:fldChar w:fldCharType="begin"/>
        </w:r>
        <w:r>
          <w:rPr>
            <w:noProof/>
            <w:webHidden/>
          </w:rPr>
          <w:instrText xml:space="preserve"> PAGEREF _Toc46992145 \h </w:instrText>
        </w:r>
        <w:r>
          <w:rPr>
            <w:noProof/>
            <w:webHidden/>
          </w:rPr>
        </w:r>
        <w:r>
          <w:rPr>
            <w:noProof/>
            <w:webHidden/>
          </w:rPr>
          <w:fldChar w:fldCharType="separate"/>
        </w:r>
        <w:r>
          <w:rPr>
            <w:noProof/>
            <w:webHidden/>
          </w:rPr>
          <w:t>29</w:t>
        </w:r>
        <w:r>
          <w:rPr>
            <w:noProof/>
            <w:webHidden/>
          </w:rPr>
          <w:fldChar w:fldCharType="end"/>
        </w:r>
      </w:hyperlink>
    </w:p>
    <w:p w14:paraId="41ED4240" w14:textId="6528362E"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46" w:history="1">
        <w:r w:rsidRPr="00601257">
          <w:rPr>
            <w:rStyle w:val="Hyperlink"/>
            <w:noProof/>
          </w:rPr>
          <w:t>Figura 12 - Variabilidade das concentrações de diferentes pesticidas nas 235 amostras de água analisadas das 12 estações de coleta, agrupadas por nos ambientes Rio Guandu, Rio Doce, Lagos e Lagoas ao longo dos períodos out/18 a mar/2019 (período chuvoso- ANO 1), abr/19 a set/2019 (período de estiagem- ANO 1) e nov/19 a fev/2020 (período chuvoso- ANO de transição).</w:t>
        </w:r>
        <w:r>
          <w:rPr>
            <w:noProof/>
            <w:webHidden/>
          </w:rPr>
          <w:tab/>
        </w:r>
        <w:r>
          <w:rPr>
            <w:noProof/>
            <w:webHidden/>
          </w:rPr>
          <w:fldChar w:fldCharType="begin"/>
        </w:r>
        <w:r>
          <w:rPr>
            <w:noProof/>
            <w:webHidden/>
          </w:rPr>
          <w:instrText xml:space="preserve"> PAGEREF _Toc46992146 \h </w:instrText>
        </w:r>
        <w:r>
          <w:rPr>
            <w:noProof/>
            <w:webHidden/>
          </w:rPr>
        </w:r>
        <w:r>
          <w:rPr>
            <w:noProof/>
            <w:webHidden/>
          </w:rPr>
          <w:fldChar w:fldCharType="separate"/>
        </w:r>
        <w:r>
          <w:rPr>
            <w:noProof/>
            <w:webHidden/>
          </w:rPr>
          <w:t>31</w:t>
        </w:r>
        <w:r>
          <w:rPr>
            <w:noProof/>
            <w:webHidden/>
          </w:rPr>
          <w:fldChar w:fldCharType="end"/>
        </w:r>
      </w:hyperlink>
    </w:p>
    <w:p w14:paraId="46137308" w14:textId="5AFF90D5"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47" w:history="1">
        <w:r w:rsidRPr="00601257">
          <w:rPr>
            <w:rStyle w:val="Hyperlink"/>
            <w:noProof/>
          </w:rPr>
          <w:t>Figura 13 - Variabilidade das concentrações de diferentes Pesticidas nas 34 amostras de água analisadas no período de transição (nov/2019 dez/2019) em diferentes ambientes (Rio Guandú, Rio Doce, Lagos e Lagoas).</w:t>
        </w:r>
        <w:r>
          <w:rPr>
            <w:noProof/>
            <w:webHidden/>
          </w:rPr>
          <w:tab/>
        </w:r>
        <w:r>
          <w:rPr>
            <w:noProof/>
            <w:webHidden/>
          </w:rPr>
          <w:fldChar w:fldCharType="begin"/>
        </w:r>
        <w:r>
          <w:rPr>
            <w:noProof/>
            <w:webHidden/>
          </w:rPr>
          <w:instrText xml:space="preserve"> PAGEREF _Toc46992147 \h </w:instrText>
        </w:r>
        <w:r>
          <w:rPr>
            <w:noProof/>
            <w:webHidden/>
          </w:rPr>
        </w:r>
        <w:r>
          <w:rPr>
            <w:noProof/>
            <w:webHidden/>
          </w:rPr>
          <w:fldChar w:fldCharType="separate"/>
        </w:r>
        <w:r>
          <w:rPr>
            <w:noProof/>
            <w:webHidden/>
          </w:rPr>
          <w:t>32</w:t>
        </w:r>
        <w:r>
          <w:rPr>
            <w:noProof/>
            <w:webHidden/>
          </w:rPr>
          <w:fldChar w:fldCharType="end"/>
        </w:r>
      </w:hyperlink>
    </w:p>
    <w:p w14:paraId="7330D551" w14:textId="30B66EF6"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48" w:history="1">
        <w:r w:rsidRPr="00601257">
          <w:rPr>
            <w:rStyle w:val="Hyperlink"/>
            <w:noProof/>
          </w:rPr>
          <w:t>Figura 14 - Concentrações e índice de não conformidades referentes a somatória dos pesticidas DDD+ DDE+DDT em diferentes períodos e ao longo dos ambientes Rio Guandu, Rio Doce, Lagos e Lagoas.</w:t>
        </w:r>
        <w:r>
          <w:rPr>
            <w:noProof/>
            <w:webHidden/>
          </w:rPr>
          <w:tab/>
        </w:r>
        <w:r>
          <w:rPr>
            <w:noProof/>
            <w:webHidden/>
          </w:rPr>
          <w:fldChar w:fldCharType="begin"/>
        </w:r>
        <w:r>
          <w:rPr>
            <w:noProof/>
            <w:webHidden/>
          </w:rPr>
          <w:instrText xml:space="preserve"> PAGEREF _Toc46992148 \h </w:instrText>
        </w:r>
        <w:r>
          <w:rPr>
            <w:noProof/>
            <w:webHidden/>
          </w:rPr>
        </w:r>
        <w:r>
          <w:rPr>
            <w:noProof/>
            <w:webHidden/>
          </w:rPr>
          <w:fldChar w:fldCharType="separate"/>
        </w:r>
        <w:r>
          <w:rPr>
            <w:noProof/>
            <w:webHidden/>
          </w:rPr>
          <w:t>35</w:t>
        </w:r>
        <w:r>
          <w:rPr>
            <w:noProof/>
            <w:webHidden/>
          </w:rPr>
          <w:fldChar w:fldCharType="end"/>
        </w:r>
      </w:hyperlink>
    </w:p>
    <w:p w14:paraId="33747558" w14:textId="534E3131"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49" w:history="1">
        <w:r w:rsidRPr="00601257">
          <w:rPr>
            <w:rStyle w:val="Hyperlink"/>
            <w:noProof/>
          </w:rPr>
          <w:t>Figura 15 - Variabilidade das concentrações de diferentes hidrocarbonetos poliaromáticos nas 272 amostras de água analisadas das 12 estações de coleta, agrupadas por nos ambientes Rio Guandu, Rio Doce, Lagos e Lagoas ao longo dos períodos out/18 a mar/2019 (período chuvoso- ANO 1), abr/19 a set/2019 (período de estiagem- ANO 1) e nov/19 a fev/2020 (período chuvoso- ANO de transição).</w:t>
        </w:r>
        <w:r>
          <w:rPr>
            <w:noProof/>
            <w:webHidden/>
          </w:rPr>
          <w:tab/>
        </w:r>
        <w:r>
          <w:rPr>
            <w:noProof/>
            <w:webHidden/>
          </w:rPr>
          <w:fldChar w:fldCharType="begin"/>
        </w:r>
        <w:r>
          <w:rPr>
            <w:noProof/>
            <w:webHidden/>
          </w:rPr>
          <w:instrText xml:space="preserve"> PAGEREF _Toc46992149 \h </w:instrText>
        </w:r>
        <w:r>
          <w:rPr>
            <w:noProof/>
            <w:webHidden/>
          </w:rPr>
        </w:r>
        <w:r>
          <w:rPr>
            <w:noProof/>
            <w:webHidden/>
          </w:rPr>
          <w:fldChar w:fldCharType="separate"/>
        </w:r>
        <w:r>
          <w:rPr>
            <w:noProof/>
            <w:webHidden/>
          </w:rPr>
          <w:t>37</w:t>
        </w:r>
        <w:r>
          <w:rPr>
            <w:noProof/>
            <w:webHidden/>
          </w:rPr>
          <w:fldChar w:fldCharType="end"/>
        </w:r>
      </w:hyperlink>
    </w:p>
    <w:p w14:paraId="15C6809F" w14:textId="23B5542C"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50" w:history="1">
        <w:r w:rsidRPr="00601257">
          <w:rPr>
            <w:rStyle w:val="Hyperlink"/>
            <w:noProof/>
          </w:rPr>
          <w:t>Figura 16 - Variabilidade das concentrações de diferentes hidrocarbonetos poliaromáticos nas 68 amostras de água analisadas no período de transição (nov/2019 a fev/2020) agrupadas em diferentes ambientes (Rio Guandú, Rio Doce, Lagos e Lagoas).</w:t>
        </w:r>
        <w:r>
          <w:rPr>
            <w:noProof/>
            <w:webHidden/>
          </w:rPr>
          <w:tab/>
        </w:r>
        <w:r>
          <w:rPr>
            <w:noProof/>
            <w:webHidden/>
          </w:rPr>
          <w:fldChar w:fldCharType="begin"/>
        </w:r>
        <w:r>
          <w:rPr>
            <w:noProof/>
            <w:webHidden/>
          </w:rPr>
          <w:instrText xml:space="preserve"> PAGEREF _Toc46992150 \h </w:instrText>
        </w:r>
        <w:r>
          <w:rPr>
            <w:noProof/>
            <w:webHidden/>
          </w:rPr>
        </w:r>
        <w:r>
          <w:rPr>
            <w:noProof/>
            <w:webHidden/>
          </w:rPr>
          <w:fldChar w:fldCharType="separate"/>
        </w:r>
        <w:r>
          <w:rPr>
            <w:noProof/>
            <w:webHidden/>
          </w:rPr>
          <w:t>39</w:t>
        </w:r>
        <w:r>
          <w:rPr>
            <w:noProof/>
            <w:webHidden/>
          </w:rPr>
          <w:fldChar w:fldCharType="end"/>
        </w:r>
      </w:hyperlink>
    </w:p>
    <w:p w14:paraId="7B410A75" w14:textId="128F7B3A"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51" w:history="1">
        <w:r w:rsidRPr="00601257">
          <w:rPr>
            <w:rStyle w:val="Hyperlink"/>
            <w:noProof/>
          </w:rPr>
          <w:t>Figura 17 - Concentrações e índice de não conformidades referentes ao poliaromático pireno em diferentes períodos e ao longo dos ambientes Rio Guandu, Rio Doce, Lagos e Lagoas.</w:t>
        </w:r>
        <w:r>
          <w:rPr>
            <w:noProof/>
            <w:webHidden/>
          </w:rPr>
          <w:tab/>
        </w:r>
        <w:r>
          <w:rPr>
            <w:noProof/>
            <w:webHidden/>
          </w:rPr>
          <w:fldChar w:fldCharType="begin"/>
        </w:r>
        <w:r>
          <w:rPr>
            <w:noProof/>
            <w:webHidden/>
          </w:rPr>
          <w:instrText xml:space="preserve"> PAGEREF _Toc46992151 \h </w:instrText>
        </w:r>
        <w:r>
          <w:rPr>
            <w:noProof/>
            <w:webHidden/>
          </w:rPr>
        </w:r>
        <w:r>
          <w:rPr>
            <w:noProof/>
            <w:webHidden/>
          </w:rPr>
          <w:fldChar w:fldCharType="separate"/>
        </w:r>
        <w:r>
          <w:rPr>
            <w:noProof/>
            <w:webHidden/>
          </w:rPr>
          <w:t>42</w:t>
        </w:r>
        <w:r>
          <w:rPr>
            <w:noProof/>
            <w:webHidden/>
          </w:rPr>
          <w:fldChar w:fldCharType="end"/>
        </w:r>
      </w:hyperlink>
    </w:p>
    <w:p w14:paraId="093B1B46" w14:textId="7E6B062A"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52" w:history="1">
        <w:r w:rsidRPr="00601257">
          <w:rPr>
            <w:rStyle w:val="Hyperlink"/>
            <w:noProof/>
          </w:rPr>
          <w:t>Figura 18 - Variabilidade das concentrações de diferentes hidrocarbonetos alifáticos nas 276 amostras de água analisadas das 12 estações de coleta, agrupadas por nos ambientes Rio Guandu, Rio Doce, Lagos e Lagoas ao longo os períodos out/18 a mar/2019 (período chuvoso- ANO 1), abr/19 a set/2019 (período de estiagem- ANO 1) e nov/19 a fev/2020 (período chuvoso- ANO de transição).</w:t>
        </w:r>
        <w:r>
          <w:rPr>
            <w:noProof/>
            <w:webHidden/>
          </w:rPr>
          <w:tab/>
        </w:r>
        <w:r>
          <w:rPr>
            <w:noProof/>
            <w:webHidden/>
          </w:rPr>
          <w:fldChar w:fldCharType="begin"/>
        </w:r>
        <w:r>
          <w:rPr>
            <w:noProof/>
            <w:webHidden/>
          </w:rPr>
          <w:instrText xml:space="preserve"> PAGEREF _Toc46992152 \h </w:instrText>
        </w:r>
        <w:r>
          <w:rPr>
            <w:noProof/>
            <w:webHidden/>
          </w:rPr>
        </w:r>
        <w:r>
          <w:rPr>
            <w:noProof/>
            <w:webHidden/>
          </w:rPr>
          <w:fldChar w:fldCharType="separate"/>
        </w:r>
        <w:r>
          <w:rPr>
            <w:noProof/>
            <w:webHidden/>
          </w:rPr>
          <w:t>43</w:t>
        </w:r>
        <w:r>
          <w:rPr>
            <w:noProof/>
            <w:webHidden/>
          </w:rPr>
          <w:fldChar w:fldCharType="end"/>
        </w:r>
      </w:hyperlink>
    </w:p>
    <w:p w14:paraId="3B920E24" w14:textId="2DE92DC1"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53" w:history="1">
        <w:r w:rsidRPr="00601257">
          <w:rPr>
            <w:rStyle w:val="Hyperlink"/>
            <w:noProof/>
          </w:rPr>
          <w:t>Figura 19 - Variabilidade das concentrações de hidrocarbonetos alifáticos de C9 a C23 nas 68 amostras de água analisadas no período de transição (nov/2019 a fev/2020) agrupadas em diferentes ambientes (Rio Guandú, Rio Doce, Lagos e Lagoas).</w:t>
        </w:r>
        <w:r>
          <w:rPr>
            <w:noProof/>
            <w:webHidden/>
          </w:rPr>
          <w:tab/>
        </w:r>
        <w:r>
          <w:rPr>
            <w:noProof/>
            <w:webHidden/>
          </w:rPr>
          <w:fldChar w:fldCharType="begin"/>
        </w:r>
        <w:r>
          <w:rPr>
            <w:noProof/>
            <w:webHidden/>
          </w:rPr>
          <w:instrText xml:space="preserve"> PAGEREF _Toc46992153 \h </w:instrText>
        </w:r>
        <w:r>
          <w:rPr>
            <w:noProof/>
            <w:webHidden/>
          </w:rPr>
        </w:r>
        <w:r>
          <w:rPr>
            <w:noProof/>
            <w:webHidden/>
          </w:rPr>
          <w:fldChar w:fldCharType="separate"/>
        </w:r>
        <w:r>
          <w:rPr>
            <w:noProof/>
            <w:webHidden/>
          </w:rPr>
          <w:t>46</w:t>
        </w:r>
        <w:r>
          <w:rPr>
            <w:noProof/>
            <w:webHidden/>
          </w:rPr>
          <w:fldChar w:fldCharType="end"/>
        </w:r>
      </w:hyperlink>
    </w:p>
    <w:p w14:paraId="6D356061" w14:textId="4AA8F450"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54" w:history="1">
        <w:r w:rsidRPr="00601257">
          <w:rPr>
            <w:rStyle w:val="Hyperlink"/>
            <w:noProof/>
          </w:rPr>
          <w:t>Figura 20 - Variabilidade das concentrações de hidrocarbonetos alifáticos de C24 a C40 nas 68 amostras de água analisadas no período de transição (nov/2019 a fev/2020) agrupadas em diferentes ambientes (Rio Guandú, Rio Doce, Lagos e Lagoas).</w:t>
        </w:r>
        <w:r>
          <w:rPr>
            <w:noProof/>
            <w:webHidden/>
          </w:rPr>
          <w:tab/>
        </w:r>
        <w:r>
          <w:rPr>
            <w:noProof/>
            <w:webHidden/>
          </w:rPr>
          <w:fldChar w:fldCharType="begin"/>
        </w:r>
        <w:r>
          <w:rPr>
            <w:noProof/>
            <w:webHidden/>
          </w:rPr>
          <w:instrText xml:space="preserve"> PAGEREF _Toc46992154 \h </w:instrText>
        </w:r>
        <w:r>
          <w:rPr>
            <w:noProof/>
            <w:webHidden/>
          </w:rPr>
        </w:r>
        <w:r>
          <w:rPr>
            <w:noProof/>
            <w:webHidden/>
          </w:rPr>
          <w:fldChar w:fldCharType="separate"/>
        </w:r>
        <w:r>
          <w:rPr>
            <w:noProof/>
            <w:webHidden/>
          </w:rPr>
          <w:t>47</w:t>
        </w:r>
        <w:r>
          <w:rPr>
            <w:noProof/>
            <w:webHidden/>
          </w:rPr>
          <w:fldChar w:fldCharType="end"/>
        </w:r>
      </w:hyperlink>
    </w:p>
    <w:p w14:paraId="33BF5942" w14:textId="0254FFFB"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55" w:history="1">
        <w:r w:rsidRPr="00601257">
          <w:rPr>
            <w:rStyle w:val="Hyperlink"/>
            <w:noProof/>
          </w:rPr>
          <w:t>Figura 21 - Variabilidade das concentrações de diferentes esteróis nas 273 amostras de água analisadas das 12 estações de coleta, agrupadas por nos ambientes Rio Guandu, Rio Doce, Lagos e Lagoas ao longo dos períodos out/18 a mar/2019 (período chuvoso- ANO 1), abr/19 a set/2019 (período de estiagem- ANO 1) e nov/19 a fev/2020 (período chuvoso- ANO de transição).</w:t>
        </w:r>
        <w:r>
          <w:rPr>
            <w:noProof/>
            <w:webHidden/>
          </w:rPr>
          <w:tab/>
        </w:r>
        <w:r>
          <w:rPr>
            <w:noProof/>
            <w:webHidden/>
          </w:rPr>
          <w:fldChar w:fldCharType="begin"/>
        </w:r>
        <w:r>
          <w:rPr>
            <w:noProof/>
            <w:webHidden/>
          </w:rPr>
          <w:instrText xml:space="preserve"> PAGEREF _Toc46992155 \h </w:instrText>
        </w:r>
        <w:r>
          <w:rPr>
            <w:noProof/>
            <w:webHidden/>
          </w:rPr>
        </w:r>
        <w:r>
          <w:rPr>
            <w:noProof/>
            <w:webHidden/>
          </w:rPr>
          <w:fldChar w:fldCharType="separate"/>
        </w:r>
        <w:r>
          <w:rPr>
            <w:noProof/>
            <w:webHidden/>
          </w:rPr>
          <w:t>49</w:t>
        </w:r>
        <w:r>
          <w:rPr>
            <w:noProof/>
            <w:webHidden/>
          </w:rPr>
          <w:fldChar w:fldCharType="end"/>
        </w:r>
      </w:hyperlink>
    </w:p>
    <w:p w14:paraId="4ED001BB" w14:textId="04F478A9"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56" w:history="1">
        <w:r w:rsidRPr="00601257">
          <w:rPr>
            <w:rStyle w:val="Hyperlink"/>
            <w:noProof/>
          </w:rPr>
          <w:t>Figura 22 - Variabilidade das concentrações de diferentes esteróis nas 68 amostras de água analisadas no período de transição (nov/2019 a fev/2020) em diferentes ambientes (Rio Guandú, Rio Doce, Lagos e Lagoas).</w:t>
        </w:r>
        <w:r>
          <w:rPr>
            <w:noProof/>
            <w:webHidden/>
          </w:rPr>
          <w:tab/>
        </w:r>
        <w:r>
          <w:rPr>
            <w:noProof/>
            <w:webHidden/>
          </w:rPr>
          <w:fldChar w:fldCharType="begin"/>
        </w:r>
        <w:r>
          <w:rPr>
            <w:noProof/>
            <w:webHidden/>
          </w:rPr>
          <w:instrText xml:space="preserve"> PAGEREF _Toc46992156 \h </w:instrText>
        </w:r>
        <w:r>
          <w:rPr>
            <w:noProof/>
            <w:webHidden/>
          </w:rPr>
        </w:r>
        <w:r>
          <w:rPr>
            <w:noProof/>
            <w:webHidden/>
          </w:rPr>
          <w:fldChar w:fldCharType="separate"/>
        </w:r>
        <w:r>
          <w:rPr>
            <w:noProof/>
            <w:webHidden/>
          </w:rPr>
          <w:t>51</w:t>
        </w:r>
        <w:r>
          <w:rPr>
            <w:noProof/>
            <w:webHidden/>
          </w:rPr>
          <w:fldChar w:fldCharType="end"/>
        </w:r>
      </w:hyperlink>
    </w:p>
    <w:p w14:paraId="1CDF4B16" w14:textId="2BED72B9"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57" w:history="1">
        <w:r w:rsidRPr="00601257">
          <w:rPr>
            <w:rStyle w:val="Hyperlink"/>
            <w:noProof/>
          </w:rPr>
          <w:t>Figura 23 - Variabilidade das concentrações de diferentes Fenóis nas 268 amostras de água analisadas das 12 estações de coleta, agrupadas por nos ambientes Rio Guandu, Rio Doce, Lagos e Lagoas ao longo dos períodos out/18 a mar/2019 (período chuvoso- ANO 1), abr/19 a set/2019 (período de estiagem- ANO 1) e nov/19 a fev/2020 (período chuvoso- ANO de transição).</w:t>
        </w:r>
        <w:r>
          <w:rPr>
            <w:noProof/>
            <w:webHidden/>
          </w:rPr>
          <w:tab/>
        </w:r>
        <w:r>
          <w:rPr>
            <w:noProof/>
            <w:webHidden/>
          </w:rPr>
          <w:fldChar w:fldCharType="begin"/>
        </w:r>
        <w:r>
          <w:rPr>
            <w:noProof/>
            <w:webHidden/>
          </w:rPr>
          <w:instrText xml:space="preserve"> PAGEREF _Toc46992157 \h </w:instrText>
        </w:r>
        <w:r>
          <w:rPr>
            <w:noProof/>
            <w:webHidden/>
          </w:rPr>
        </w:r>
        <w:r>
          <w:rPr>
            <w:noProof/>
            <w:webHidden/>
          </w:rPr>
          <w:fldChar w:fldCharType="separate"/>
        </w:r>
        <w:r>
          <w:rPr>
            <w:noProof/>
            <w:webHidden/>
          </w:rPr>
          <w:t>53</w:t>
        </w:r>
        <w:r>
          <w:rPr>
            <w:noProof/>
            <w:webHidden/>
          </w:rPr>
          <w:fldChar w:fldCharType="end"/>
        </w:r>
      </w:hyperlink>
    </w:p>
    <w:p w14:paraId="3D5050E7" w14:textId="49368F23"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58" w:history="1">
        <w:r w:rsidRPr="00601257">
          <w:rPr>
            <w:rStyle w:val="Hyperlink"/>
            <w:noProof/>
          </w:rPr>
          <w:t>Figura 24 - Variabilidade das concentrações de diferentes fenóis nas 68 amostras de água analisadas no período de transição (nov/2019 a fev/2020) em diferentes ambientes (Rio Guandú, Rio Doce, Lagos e Lagoas).</w:t>
        </w:r>
        <w:r>
          <w:rPr>
            <w:noProof/>
            <w:webHidden/>
          </w:rPr>
          <w:tab/>
        </w:r>
        <w:r>
          <w:rPr>
            <w:noProof/>
            <w:webHidden/>
          </w:rPr>
          <w:fldChar w:fldCharType="begin"/>
        </w:r>
        <w:r>
          <w:rPr>
            <w:noProof/>
            <w:webHidden/>
          </w:rPr>
          <w:instrText xml:space="preserve"> PAGEREF _Toc46992158 \h </w:instrText>
        </w:r>
        <w:r>
          <w:rPr>
            <w:noProof/>
            <w:webHidden/>
          </w:rPr>
        </w:r>
        <w:r>
          <w:rPr>
            <w:noProof/>
            <w:webHidden/>
          </w:rPr>
          <w:fldChar w:fldCharType="separate"/>
        </w:r>
        <w:r>
          <w:rPr>
            <w:noProof/>
            <w:webHidden/>
          </w:rPr>
          <w:t>55</w:t>
        </w:r>
        <w:r>
          <w:rPr>
            <w:noProof/>
            <w:webHidden/>
          </w:rPr>
          <w:fldChar w:fldCharType="end"/>
        </w:r>
      </w:hyperlink>
    </w:p>
    <w:p w14:paraId="4D3C7373" w14:textId="4493925B"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59" w:history="1">
        <w:r w:rsidRPr="00601257">
          <w:rPr>
            <w:rStyle w:val="Hyperlink"/>
            <w:noProof/>
          </w:rPr>
          <w:t>Figura 25 - Concentrações e índice de não conformidades referentes ao 2-clorofenol em diferentes períodos e ao longo dos ambientes Rio Guandu, Rio Doce, Lagos e Lagoas.</w:t>
        </w:r>
        <w:r>
          <w:rPr>
            <w:noProof/>
            <w:webHidden/>
          </w:rPr>
          <w:tab/>
        </w:r>
        <w:r>
          <w:rPr>
            <w:noProof/>
            <w:webHidden/>
          </w:rPr>
          <w:fldChar w:fldCharType="begin"/>
        </w:r>
        <w:r>
          <w:rPr>
            <w:noProof/>
            <w:webHidden/>
          </w:rPr>
          <w:instrText xml:space="preserve"> PAGEREF _Toc46992159 \h </w:instrText>
        </w:r>
        <w:r>
          <w:rPr>
            <w:noProof/>
            <w:webHidden/>
          </w:rPr>
        </w:r>
        <w:r>
          <w:rPr>
            <w:noProof/>
            <w:webHidden/>
          </w:rPr>
          <w:fldChar w:fldCharType="separate"/>
        </w:r>
        <w:r>
          <w:rPr>
            <w:noProof/>
            <w:webHidden/>
          </w:rPr>
          <w:t>59</w:t>
        </w:r>
        <w:r>
          <w:rPr>
            <w:noProof/>
            <w:webHidden/>
          </w:rPr>
          <w:fldChar w:fldCharType="end"/>
        </w:r>
      </w:hyperlink>
    </w:p>
    <w:p w14:paraId="2325F233" w14:textId="12A7B515"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60" w:history="1">
        <w:r w:rsidRPr="00601257">
          <w:rPr>
            <w:rStyle w:val="Hyperlink"/>
            <w:noProof/>
          </w:rPr>
          <w:t>Figura 26 - Concentrações e índice de não conformidades referentes ao Pentaclorofenol em diferentes períodos e ao longo dos ambientes Rio Guandu, Rio Doce, Lagos e Lagoas.</w:t>
        </w:r>
        <w:r>
          <w:rPr>
            <w:noProof/>
            <w:webHidden/>
          </w:rPr>
          <w:tab/>
        </w:r>
        <w:r>
          <w:rPr>
            <w:noProof/>
            <w:webHidden/>
          </w:rPr>
          <w:fldChar w:fldCharType="begin"/>
        </w:r>
        <w:r>
          <w:rPr>
            <w:noProof/>
            <w:webHidden/>
          </w:rPr>
          <w:instrText xml:space="preserve"> PAGEREF _Toc46992160 \h </w:instrText>
        </w:r>
        <w:r>
          <w:rPr>
            <w:noProof/>
            <w:webHidden/>
          </w:rPr>
        </w:r>
        <w:r>
          <w:rPr>
            <w:noProof/>
            <w:webHidden/>
          </w:rPr>
          <w:fldChar w:fldCharType="separate"/>
        </w:r>
        <w:r>
          <w:rPr>
            <w:noProof/>
            <w:webHidden/>
          </w:rPr>
          <w:t>60</w:t>
        </w:r>
        <w:r>
          <w:rPr>
            <w:noProof/>
            <w:webHidden/>
          </w:rPr>
          <w:fldChar w:fldCharType="end"/>
        </w:r>
      </w:hyperlink>
    </w:p>
    <w:p w14:paraId="01C945D4" w14:textId="523108B2"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61" w:history="1">
        <w:r w:rsidRPr="00601257">
          <w:rPr>
            <w:rStyle w:val="Hyperlink"/>
            <w:noProof/>
          </w:rPr>
          <w:t>Figura 27 - Concentrações e índice de não conformidades referentes ao 2,6 Diclofenol em diferentes períodos e ao longo dos ambientes Rio Guandu, Rio Doce, Lagos e Lagoas.</w:t>
        </w:r>
        <w:r>
          <w:rPr>
            <w:noProof/>
            <w:webHidden/>
          </w:rPr>
          <w:tab/>
        </w:r>
        <w:r>
          <w:rPr>
            <w:noProof/>
            <w:webHidden/>
          </w:rPr>
          <w:fldChar w:fldCharType="begin"/>
        </w:r>
        <w:r>
          <w:rPr>
            <w:noProof/>
            <w:webHidden/>
          </w:rPr>
          <w:instrText xml:space="preserve"> PAGEREF _Toc46992161 \h </w:instrText>
        </w:r>
        <w:r>
          <w:rPr>
            <w:noProof/>
            <w:webHidden/>
          </w:rPr>
        </w:r>
        <w:r>
          <w:rPr>
            <w:noProof/>
            <w:webHidden/>
          </w:rPr>
          <w:fldChar w:fldCharType="separate"/>
        </w:r>
        <w:r>
          <w:rPr>
            <w:noProof/>
            <w:webHidden/>
          </w:rPr>
          <w:t>61</w:t>
        </w:r>
        <w:r>
          <w:rPr>
            <w:noProof/>
            <w:webHidden/>
          </w:rPr>
          <w:fldChar w:fldCharType="end"/>
        </w:r>
      </w:hyperlink>
    </w:p>
    <w:p w14:paraId="21888B71" w14:textId="19315C91"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62" w:history="1">
        <w:r w:rsidRPr="00601257">
          <w:rPr>
            <w:rStyle w:val="Hyperlink"/>
            <w:noProof/>
          </w:rPr>
          <w:t>Figura 28 - Concentrações e índice de não conformidades referentes ao Dinoseb em diferentes períodos e ao longo dos ambientes Rio Guandu, Rio Doce, Lagos e Lagoas.</w:t>
        </w:r>
        <w:r>
          <w:rPr>
            <w:noProof/>
            <w:webHidden/>
          </w:rPr>
          <w:tab/>
        </w:r>
        <w:r>
          <w:rPr>
            <w:noProof/>
            <w:webHidden/>
          </w:rPr>
          <w:fldChar w:fldCharType="begin"/>
        </w:r>
        <w:r>
          <w:rPr>
            <w:noProof/>
            <w:webHidden/>
          </w:rPr>
          <w:instrText xml:space="preserve"> PAGEREF _Toc46992162 \h </w:instrText>
        </w:r>
        <w:r>
          <w:rPr>
            <w:noProof/>
            <w:webHidden/>
          </w:rPr>
        </w:r>
        <w:r>
          <w:rPr>
            <w:noProof/>
            <w:webHidden/>
          </w:rPr>
          <w:fldChar w:fldCharType="separate"/>
        </w:r>
        <w:r>
          <w:rPr>
            <w:noProof/>
            <w:webHidden/>
          </w:rPr>
          <w:t>62</w:t>
        </w:r>
        <w:r>
          <w:rPr>
            <w:noProof/>
            <w:webHidden/>
          </w:rPr>
          <w:fldChar w:fldCharType="end"/>
        </w:r>
      </w:hyperlink>
    </w:p>
    <w:p w14:paraId="0E5A3517" w14:textId="495EB1A2"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63" w:history="1">
        <w:r w:rsidRPr="00601257">
          <w:rPr>
            <w:rStyle w:val="Hyperlink"/>
            <w:noProof/>
          </w:rPr>
          <w:t>Figura 29 - Concentrações e índice de não conformidades referentes ao 2,3,4,5 tetraclorofenol em diferentes períodos e ao longo dos ambientes Rio Guandu, Rio Doce, Lagos e Lagoas.</w:t>
        </w:r>
        <w:r>
          <w:rPr>
            <w:noProof/>
            <w:webHidden/>
          </w:rPr>
          <w:tab/>
        </w:r>
        <w:r>
          <w:rPr>
            <w:noProof/>
            <w:webHidden/>
          </w:rPr>
          <w:fldChar w:fldCharType="begin"/>
        </w:r>
        <w:r>
          <w:rPr>
            <w:noProof/>
            <w:webHidden/>
          </w:rPr>
          <w:instrText xml:space="preserve"> PAGEREF _Toc46992163 \h </w:instrText>
        </w:r>
        <w:r>
          <w:rPr>
            <w:noProof/>
            <w:webHidden/>
          </w:rPr>
        </w:r>
        <w:r>
          <w:rPr>
            <w:noProof/>
            <w:webHidden/>
          </w:rPr>
          <w:fldChar w:fldCharType="separate"/>
        </w:r>
        <w:r>
          <w:rPr>
            <w:noProof/>
            <w:webHidden/>
          </w:rPr>
          <w:t>63</w:t>
        </w:r>
        <w:r>
          <w:rPr>
            <w:noProof/>
            <w:webHidden/>
          </w:rPr>
          <w:fldChar w:fldCharType="end"/>
        </w:r>
      </w:hyperlink>
    </w:p>
    <w:p w14:paraId="35B35EF7" w14:textId="1D37964F"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64" w:history="1">
        <w:r w:rsidRPr="00601257">
          <w:rPr>
            <w:rStyle w:val="Hyperlink"/>
            <w:noProof/>
          </w:rPr>
          <w:t>Figura 30 - Variabilidade de alguns elementos inorgânicos nos sistemas do Rio Guandu, Rio Doce, Lagos e Lagoas.</w:t>
        </w:r>
        <w:r>
          <w:rPr>
            <w:noProof/>
            <w:webHidden/>
          </w:rPr>
          <w:tab/>
        </w:r>
        <w:r>
          <w:rPr>
            <w:noProof/>
            <w:webHidden/>
          </w:rPr>
          <w:fldChar w:fldCharType="begin"/>
        </w:r>
        <w:r>
          <w:rPr>
            <w:noProof/>
            <w:webHidden/>
          </w:rPr>
          <w:instrText xml:space="preserve"> PAGEREF _Toc46992164 \h </w:instrText>
        </w:r>
        <w:r>
          <w:rPr>
            <w:noProof/>
            <w:webHidden/>
          </w:rPr>
        </w:r>
        <w:r>
          <w:rPr>
            <w:noProof/>
            <w:webHidden/>
          </w:rPr>
          <w:fldChar w:fldCharType="separate"/>
        </w:r>
        <w:r>
          <w:rPr>
            <w:noProof/>
            <w:webHidden/>
          </w:rPr>
          <w:t>66</w:t>
        </w:r>
        <w:r>
          <w:rPr>
            <w:noProof/>
            <w:webHidden/>
          </w:rPr>
          <w:fldChar w:fldCharType="end"/>
        </w:r>
      </w:hyperlink>
    </w:p>
    <w:p w14:paraId="3D4EF8A1" w14:textId="31672020"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65" w:history="1">
        <w:r w:rsidRPr="00601257">
          <w:rPr>
            <w:rStyle w:val="Hyperlink"/>
            <w:noProof/>
          </w:rPr>
          <w:t>Figura 31- Variabilidade de Ba e Mn nos sistemas do Rio Guandu, Rio Doce, Lagos e Lagoas.</w:t>
        </w:r>
        <w:r>
          <w:rPr>
            <w:noProof/>
            <w:webHidden/>
          </w:rPr>
          <w:tab/>
        </w:r>
        <w:r>
          <w:rPr>
            <w:noProof/>
            <w:webHidden/>
          </w:rPr>
          <w:fldChar w:fldCharType="begin"/>
        </w:r>
        <w:r>
          <w:rPr>
            <w:noProof/>
            <w:webHidden/>
          </w:rPr>
          <w:instrText xml:space="preserve"> PAGEREF _Toc46992165 \h </w:instrText>
        </w:r>
        <w:r>
          <w:rPr>
            <w:noProof/>
            <w:webHidden/>
          </w:rPr>
        </w:r>
        <w:r>
          <w:rPr>
            <w:noProof/>
            <w:webHidden/>
          </w:rPr>
          <w:fldChar w:fldCharType="separate"/>
        </w:r>
        <w:r>
          <w:rPr>
            <w:noProof/>
            <w:webHidden/>
          </w:rPr>
          <w:t>67</w:t>
        </w:r>
        <w:r>
          <w:rPr>
            <w:noProof/>
            <w:webHidden/>
          </w:rPr>
          <w:fldChar w:fldCharType="end"/>
        </w:r>
      </w:hyperlink>
    </w:p>
    <w:p w14:paraId="19A51C98" w14:textId="6911F64C"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66" w:history="1">
        <w:r w:rsidRPr="00601257">
          <w:rPr>
            <w:rStyle w:val="Hyperlink"/>
            <w:noProof/>
          </w:rPr>
          <w:t>Figura 32 - Variabilidade para Al e Fe nos sistemas do Rio Guandu, Rio Doce, Lagos e Lagoas.</w:t>
        </w:r>
        <w:r>
          <w:rPr>
            <w:noProof/>
            <w:webHidden/>
          </w:rPr>
          <w:tab/>
        </w:r>
        <w:r>
          <w:rPr>
            <w:noProof/>
            <w:webHidden/>
          </w:rPr>
          <w:fldChar w:fldCharType="begin"/>
        </w:r>
        <w:r>
          <w:rPr>
            <w:noProof/>
            <w:webHidden/>
          </w:rPr>
          <w:instrText xml:space="preserve"> PAGEREF _Toc46992166 \h </w:instrText>
        </w:r>
        <w:r>
          <w:rPr>
            <w:noProof/>
            <w:webHidden/>
          </w:rPr>
        </w:r>
        <w:r>
          <w:rPr>
            <w:noProof/>
            <w:webHidden/>
          </w:rPr>
          <w:fldChar w:fldCharType="separate"/>
        </w:r>
        <w:r>
          <w:rPr>
            <w:noProof/>
            <w:webHidden/>
          </w:rPr>
          <w:t>68</w:t>
        </w:r>
        <w:r>
          <w:rPr>
            <w:noProof/>
            <w:webHidden/>
          </w:rPr>
          <w:fldChar w:fldCharType="end"/>
        </w:r>
      </w:hyperlink>
    </w:p>
    <w:p w14:paraId="6E46C078" w14:textId="2A384172"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67" w:history="1">
        <w:r w:rsidRPr="00601257">
          <w:rPr>
            <w:rStyle w:val="Hyperlink"/>
            <w:noProof/>
          </w:rPr>
          <w:t>Figura 33 - Variabilidade por ambiente para As, Cr e Ni. em sedimento no parâmetro de metais totais.</w:t>
        </w:r>
        <w:r>
          <w:rPr>
            <w:noProof/>
            <w:webHidden/>
          </w:rPr>
          <w:tab/>
        </w:r>
        <w:r>
          <w:rPr>
            <w:noProof/>
            <w:webHidden/>
          </w:rPr>
          <w:fldChar w:fldCharType="begin"/>
        </w:r>
        <w:r>
          <w:rPr>
            <w:noProof/>
            <w:webHidden/>
          </w:rPr>
          <w:instrText xml:space="preserve"> PAGEREF _Toc46992167 \h </w:instrText>
        </w:r>
        <w:r>
          <w:rPr>
            <w:noProof/>
            <w:webHidden/>
          </w:rPr>
        </w:r>
        <w:r>
          <w:rPr>
            <w:noProof/>
            <w:webHidden/>
          </w:rPr>
          <w:fldChar w:fldCharType="separate"/>
        </w:r>
        <w:r>
          <w:rPr>
            <w:noProof/>
            <w:webHidden/>
          </w:rPr>
          <w:t>71</w:t>
        </w:r>
        <w:r>
          <w:rPr>
            <w:noProof/>
            <w:webHidden/>
          </w:rPr>
          <w:fldChar w:fldCharType="end"/>
        </w:r>
      </w:hyperlink>
    </w:p>
    <w:p w14:paraId="2B529FD9" w14:textId="4DDC7B64"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68" w:history="1">
        <w:r w:rsidRPr="00601257">
          <w:rPr>
            <w:rStyle w:val="Hyperlink"/>
            <w:noProof/>
          </w:rPr>
          <w:t>Figura 34 - Variabilidade por ambiente para Al, Fe e Mn. em sedimento no parâmetro de metais totais.</w:t>
        </w:r>
        <w:r>
          <w:rPr>
            <w:noProof/>
            <w:webHidden/>
          </w:rPr>
          <w:tab/>
        </w:r>
        <w:r>
          <w:rPr>
            <w:noProof/>
            <w:webHidden/>
          </w:rPr>
          <w:fldChar w:fldCharType="begin"/>
        </w:r>
        <w:r>
          <w:rPr>
            <w:noProof/>
            <w:webHidden/>
          </w:rPr>
          <w:instrText xml:space="preserve"> PAGEREF _Toc46992168 \h </w:instrText>
        </w:r>
        <w:r>
          <w:rPr>
            <w:noProof/>
            <w:webHidden/>
          </w:rPr>
        </w:r>
        <w:r>
          <w:rPr>
            <w:noProof/>
            <w:webHidden/>
          </w:rPr>
          <w:fldChar w:fldCharType="separate"/>
        </w:r>
        <w:r>
          <w:rPr>
            <w:noProof/>
            <w:webHidden/>
          </w:rPr>
          <w:t>72</w:t>
        </w:r>
        <w:r>
          <w:rPr>
            <w:noProof/>
            <w:webHidden/>
          </w:rPr>
          <w:fldChar w:fldCharType="end"/>
        </w:r>
      </w:hyperlink>
    </w:p>
    <w:p w14:paraId="1BCB232C" w14:textId="2B22E224"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69" w:history="1">
        <w:r w:rsidRPr="00601257">
          <w:rPr>
            <w:rStyle w:val="Hyperlink"/>
            <w:noProof/>
          </w:rPr>
          <w:t>Figura 35 - Variabilidade das concentrações de diferentes hidrocarbonetos poliaromáticos nas 163 amostras de sedimentos analisadas das 12 estações de coleta, agrupadas por nos ambientes Rio Guandu, Rio Doce, Lagos e Lagoas ao longo dos períodos out/18 a mar/2019 (período chuvoso- ANO 1), abr/19 a set/2019 (período de estiagem- ANO 1) e nov/19 a dez/2019 (período chuvoso- ANO de transição).</w:t>
        </w:r>
        <w:r>
          <w:rPr>
            <w:noProof/>
            <w:webHidden/>
          </w:rPr>
          <w:tab/>
        </w:r>
        <w:r>
          <w:rPr>
            <w:noProof/>
            <w:webHidden/>
          </w:rPr>
          <w:fldChar w:fldCharType="begin"/>
        </w:r>
        <w:r>
          <w:rPr>
            <w:noProof/>
            <w:webHidden/>
          </w:rPr>
          <w:instrText xml:space="preserve"> PAGEREF _Toc46992169 \h </w:instrText>
        </w:r>
        <w:r>
          <w:rPr>
            <w:noProof/>
            <w:webHidden/>
          </w:rPr>
        </w:r>
        <w:r>
          <w:rPr>
            <w:noProof/>
            <w:webHidden/>
          </w:rPr>
          <w:fldChar w:fldCharType="separate"/>
        </w:r>
        <w:r>
          <w:rPr>
            <w:noProof/>
            <w:webHidden/>
          </w:rPr>
          <w:t>76</w:t>
        </w:r>
        <w:r>
          <w:rPr>
            <w:noProof/>
            <w:webHidden/>
          </w:rPr>
          <w:fldChar w:fldCharType="end"/>
        </w:r>
      </w:hyperlink>
    </w:p>
    <w:p w14:paraId="5B111292" w14:textId="78148643"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70" w:history="1">
        <w:r w:rsidRPr="00601257">
          <w:rPr>
            <w:rStyle w:val="Hyperlink"/>
            <w:noProof/>
          </w:rPr>
          <w:t>Figura 36 - Variabilidade das concentrações de diferentes hidrocarbonetos poliaromáticos nas 22 amostras de sedimentos analisadas no período de transição (nov/2019 a dez/19) agrupadas em diferentes ambientes (Rio Guandú, Rio Doce, Lagos e Lagoas).</w:t>
        </w:r>
        <w:r>
          <w:rPr>
            <w:noProof/>
            <w:webHidden/>
          </w:rPr>
          <w:tab/>
        </w:r>
        <w:r>
          <w:rPr>
            <w:noProof/>
            <w:webHidden/>
          </w:rPr>
          <w:fldChar w:fldCharType="begin"/>
        </w:r>
        <w:r>
          <w:rPr>
            <w:noProof/>
            <w:webHidden/>
          </w:rPr>
          <w:instrText xml:space="preserve"> PAGEREF _Toc46992170 \h </w:instrText>
        </w:r>
        <w:r>
          <w:rPr>
            <w:noProof/>
            <w:webHidden/>
          </w:rPr>
        </w:r>
        <w:r>
          <w:rPr>
            <w:noProof/>
            <w:webHidden/>
          </w:rPr>
          <w:fldChar w:fldCharType="separate"/>
        </w:r>
        <w:r>
          <w:rPr>
            <w:noProof/>
            <w:webHidden/>
          </w:rPr>
          <w:t>78</w:t>
        </w:r>
        <w:r>
          <w:rPr>
            <w:noProof/>
            <w:webHidden/>
          </w:rPr>
          <w:fldChar w:fldCharType="end"/>
        </w:r>
      </w:hyperlink>
    </w:p>
    <w:p w14:paraId="39023EBC" w14:textId="028ACC82"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71" w:history="1">
        <w:r w:rsidRPr="00601257">
          <w:rPr>
            <w:rStyle w:val="Hyperlink"/>
            <w:noProof/>
          </w:rPr>
          <w:t>Figura 37 - Variabilidade das concentrações de diferentes hidrocarbonetos alifáticos nas 22 amostras de água analisadas das 12 estações de coleta, agrupadas por nos ambientes Rio Guandu, Rio Doce, Lagos e Lagoas ao longo os períodos out/18 a mar/2019 (período chuvoso- ANO 1), abr/19 a set/2019 (período de estiagem- ANO 1) e nov/19 a dez /2020 (período chuvoso- ANO de transição).</w:t>
        </w:r>
        <w:r>
          <w:rPr>
            <w:noProof/>
            <w:webHidden/>
          </w:rPr>
          <w:tab/>
        </w:r>
        <w:r>
          <w:rPr>
            <w:noProof/>
            <w:webHidden/>
          </w:rPr>
          <w:fldChar w:fldCharType="begin"/>
        </w:r>
        <w:r>
          <w:rPr>
            <w:noProof/>
            <w:webHidden/>
          </w:rPr>
          <w:instrText xml:space="preserve"> PAGEREF _Toc46992171 \h </w:instrText>
        </w:r>
        <w:r>
          <w:rPr>
            <w:noProof/>
            <w:webHidden/>
          </w:rPr>
        </w:r>
        <w:r>
          <w:rPr>
            <w:noProof/>
            <w:webHidden/>
          </w:rPr>
          <w:fldChar w:fldCharType="separate"/>
        </w:r>
        <w:r>
          <w:rPr>
            <w:noProof/>
            <w:webHidden/>
          </w:rPr>
          <w:t>81</w:t>
        </w:r>
        <w:r>
          <w:rPr>
            <w:noProof/>
            <w:webHidden/>
          </w:rPr>
          <w:fldChar w:fldCharType="end"/>
        </w:r>
      </w:hyperlink>
    </w:p>
    <w:p w14:paraId="262D8804" w14:textId="6E830D52"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72" w:history="1">
        <w:r w:rsidRPr="00601257">
          <w:rPr>
            <w:rStyle w:val="Hyperlink"/>
            <w:noProof/>
          </w:rPr>
          <w:t>Figura 38 - Variabilidade das concentrações de hidrocarbonetos alifáticos de C9 a C23 nas 22 amostras de sedimento analisadas no período de transição (nov/2019 a dez/2019) agrupadas em diferentes ambientes (Rio Guandú, Rio Doce, Lagos e Lagoas).</w:t>
        </w:r>
        <w:r>
          <w:rPr>
            <w:noProof/>
            <w:webHidden/>
          </w:rPr>
          <w:tab/>
        </w:r>
        <w:r>
          <w:rPr>
            <w:noProof/>
            <w:webHidden/>
          </w:rPr>
          <w:fldChar w:fldCharType="begin"/>
        </w:r>
        <w:r>
          <w:rPr>
            <w:noProof/>
            <w:webHidden/>
          </w:rPr>
          <w:instrText xml:space="preserve"> PAGEREF _Toc46992172 \h </w:instrText>
        </w:r>
        <w:r>
          <w:rPr>
            <w:noProof/>
            <w:webHidden/>
          </w:rPr>
        </w:r>
        <w:r>
          <w:rPr>
            <w:noProof/>
            <w:webHidden/>
          </w:rPr>
          <w:fldChar w:fldCharType="separate"/>
        </w:r>
        <w:r>
          <w:rPr>
            <w:noProof/>
            <w:webHidden/>
          </w:rPr>
          <w:t>82</w:t>
        </w:r>
        <w:r>
          <w:rPr>
            <w:noProof/>
            <w:webHidden/>
          </w:rPr>
          <w:fldChar w:fldCharType="end"/>
        </w:r>
      </w:hyperlink>
    </w:p>
    <w:p w14:paraId="3BC7D380" w14:textId="7C9E6B24"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73" w:history="1">
        <w:r w:rsidRPr="00601257">
          <w:rPr>
            <w:rStyle w:val="Hyperlink"/>
            <w:noProof/>
          </w:rPr>
          <w:t>Figura 39 - Variabilidade das concentrações de hidrocarbonetos alifáticos de C24 a C40 nas 22 amostras de água analisadas no período de transição (nov/2019 a dez/2019) agrupadas em diferentes ambientes (Rio Guandú, Rio Doce, Lagos e Lagoas).</w:t>
        </w:r>
        <w:r>
          <w:rPr>
            <w:noProof/>
            <w:webHidden/>
          </w:rPr>
          <w:tab/>
        </w:r>
        <w:r>
          <w:rPr>
            <w:noProof/>
            <w:webHidden/>
          </w:rPr>
          <w:fldChar w:fldCharType="begin"/>
        </w:r>
        <w:r>
          <w:rPr>
            <w:noProof/>
            <w:webHidden/>
          </w:rPr>
          <w:instrText xml:space="preserve"> PAGEREF _Toc46992173 \h </w:instrText>
        </w:r>
        <w:r>
          <w:rPr>
            <w:noProof/>
            <w:webHidden/>
          </w:rPr>
        </w:r>
        <w:r>
          <w:rPr>
            <w:noProof/>
            <w:webHidden/>
          </w:rPr>
          <w:fldChar w:fldCharType="separate"/>
        </w:r>
        <w:r>
          <w:rPr>
            <w:noProof/>
            <w:webHidden/>
          </w:rPr>
          <w:t>83</w:t>
        </w:r>
        <w:r>
          <w:rPr>
            <w:noProof/>
            <w:webHidden/>
          </w:rPr>
          <w:fldChar w:fldCharType="end"/>
        </w:r>
      </w:hyperlink>
    </w:p>
    <w:p w14:paraId="7C09AB5D" w14:textId="63CC562C"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74" w:history="1">
        <w:r w:rsidRPr="00601257">
          <w:rPr>
            <w:rStyle w:val="Hyperlink"/>
            <w:noProof/>
          </w:rPr>
          <w:t>Figura 40 - Variabilidade das concentrações de diferentes esteróis nas 163 amostras de sedimentos analisadas das 12 estações de coleta, agrupadas por nos ambientes Rio Guandu, Rio Doce, Lagos e Lagoas ao longo dos períodos out/18 a mar/2019 (período chuvoso- ANO 1), abr/19 a set/2019 (período de estiagem- ANO 1) e nov/19 a dez/2019 (período chuvoso- ANO de transição).</w:t>
        </w:r>
        <w:r>
          <w:rPr>
            <w:noProof/>
            <w:webHidden/>
          </w:rPr>
          <w:tab/>
        </w:r>
        <w:r>
          <w:rPr>
            <w:noProof/>
            <w:webHidden/>
          </w:rPr>
          <w:fldChar w:fldCharType="begin"/>
        </w:r>
        <w:r>
          <w:rPr>
            <w:noProof/>
            <w:webHidden/>
          </w:rPr>
          <w:instrText xml:space="preserve"> PAGEREF _Toc46992174 \h </w:instrText>
        </w:r>
        <w:r>
          <w:rPr>
            <w:noProof/>
            <w:webHidden/>
          </w:rPr>
        </w:r>
        <w:r>
          <w:rPr>
            <w:noProof/>
            <w:webHidden/>
          </w:rPr>
          <w:fldChar w:fldCharType="separate"/>
        </w:r>
        <w:r>
          <w:rPr>
            <w:noProof/>
            <w:webHidden/>
          </w:rPr>
          <w:t>84</w:t>
        </w:r>
        <w:r>
          <w:rPr>
            <w:noProof/>
            <w:webHidden/>
          </w:rPr>
          <w:fldChar w:fldCharType="end"/>
        </w:r>
      </w:hyperlink>
    </w:p>
    <w:p w14:paraId="1A001522" w14:textId="7AACA444"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75" w:history="1">
        <w:r w:rsidRPr="00601257">
          <w:rPr>
            <w:rStyle w:val="Hyperlink"/>
            <w:noProof/>
          </w:rPr>
          <w:t>Figura 41 - Variabilidade das concentrações de diferentes esteróis nas 22 amostras de sedimento analisadas no período de transição (nov/2019 a dez/2019) em diferentes ambientes (Rio Guandú, Rio Doce, Lagos e Lagoas).</w:t>
        </w:r>
        <w:r>
          <w:rPr>
            <w:noProof/>
            <w:webHidden/>
          </w:rPr>
          <w:tab/>
        </w:r>
        <w:r>
          <w:rPr>
            <w:noProof/>
            <w:webHidden/>
          </w:rPr>
          <w:fldChar w:fldCharType="begin"/>
        </w:r>
        <w:r>
          <w:rPr>
            <w:noProof/>
            <w:webHidden/>
          </w:rPr>
          <w:instrText xml:space="preserve"> PAGEREF _Toc46992175 \h </w:instrText>
        </w:r>
        <w:r>
          <w:rPr>
            <w:noProof/>
            <w:webHidden/>
          </w:rPr>
        </w:r>
        <w:r>
          <w:rPr>
            <w:noProof/>
            <w:webHidden/>
          </w:rPr>
          <w:fldChar w:fldCharType="separate"/>
        </w:r>
        <w:r>
          <w:rPr>
            <w:noProof/>
            <w:webHidden/>
          </w:rPr>
          <w:t>87</w:t>
        </w:r>
        <w:r>
          <w:rPr>
            <w:noProof/>
            <w:webHidden/>
          </w:rPr>
          <w:fldChar w:fldCharType="end"/>
        </w:r>
      </w:hyperlink>
    </w:p>
    <w:p w14:paraId="34CDE412" w14:textId="1037870E" w:rsidR="00D90B2E" w:rsidRDefault="00D90B2E" w:rsidP="00BC642A">
      <w:r>
        <w:fldChar w:fldCharType="end"/>
      </w:r>
    </w:p>
    <w:p w14:paraId="2204B1E6" w14:textId="77777777" w:rsidR="00D90B2E" w:rsidRDefault="00D90B2E">
      <w:pPr>
        <w:spacing w:before="0" w:line="259" w:lineRule="auto"/>
        <w:jc w:val="left"/>
      </w:pPr>
      <w:r>
        <w:br w:type="page"/>
      </w:r>
    </w:p>
    <w:p w14:paraId="4353C0BD" w14:textId="4F5F9C86" w:rsidR="00D90B2E" w:rsidRPr="00D90B2E" w:rsidRDefault="00D90B2E" w:rsidP="001B023D">
      <w:pPr>
        <w:spacing w:before="0" w:line="259" w:lineRule="auto"/>
        <w:jc w:val="center"/>
      </w:pPr>
      <w:r>
        <w:rPr>
          <w:b/>
          <w:bCs/>
          <w:sz w:val="24"/>
          <w:szCs w:val="24"/>
        </w:rPr>
        <w:lastRenderedPageBreak/>
        <w:t>Lista de Tabelas</w:t>
      </w:r>
    </w:p>
    <w:p w14:paraId="00C1A022" w14:textId="2D50A973" w:rsidR="002C014F" w:rsidRDefault="00D90B2E">
      <w:pPr>
        <w:pStyle w:val="ndicedeilustraes"/>
        <w:tabs>
          <w:tab w:val="left" w:pos="400"/>
          <w:tab w:val="right" w:leader="dot" w:pos="9061"/>
        </w:tabs>
        <w:rPr>
          <w:rFonts w:asciiTheme="minorHAnsi" w:eastAsiaTheme="minorEastAsia" w:hAnsiTheme="minorHAnsi"/>
          <w:noProof/>
          <w:sz w:val="22"/>
          <w:lang w:eastAsia="pt-BR"/>
        </w:rPr>
      </w:pPr>
      <w:r>
        <w:fldChar w:fldCharType="begin"/>
      </w:r>
      <w:r>
        <w:instrText xml:space="preserve"> TOC \h \z \c "Tabela" </w:instrText>
      </w:r>
      <w:r>
        <w:fldChar w:fldCharType="separate"/>
      </w:r>
      <w:hyperlink w:anchor="_Toc46992176" w:history="1">
        <w:r w:rsidR="002C014F" w:rsidRPr="00F250A4">
          <w:rPr>
            <w:rStyle w:val="Hyperlink"/>
            <w:noProof/>
          </w:rPr>
          <w:t>1.</w:t>
        </w:r>
        <w:r w:rsidR="002C014F">
          <w:rPr>
            <w:rFonts w:asciiTheme="minorHAnsi" w:eastAsiaTheme="minorEastAsia" w:hAnsiTheme="minorHAnsi"/>
            <w:noProof/>
            <w:sz w:val="22"/>
            <w:lang w:eastAsia="pt-BR"/>
          </w:rPr>
          <w:tab/>
        </w:r>
        <w:r w:rsidR="002C014F" w:rsidRPr="00F250A4">
          <w:rPr>
            <w:rStyle w:val="Hyperlink"/>
            <w:noProof/>
          </w:rPr>
          <w:t xml:space="preserve">Tabela 1 - Comparação das médias de concentrações em </w:t>
        </w:r>
        <w:r w:rsidR="002C014F" w:rsidRPr="00F250A4">
          <w:rPr>
            <w:rStyle w:val="Hyperlink"/>
            <w:rFonts w:cstheme="minorHAnsi"/>
            <w:noProof/>
          </w:rPr>
          <w:t>µ</w:t>
        </w:r>
        <w:r w:rsidR="002C014F" w:rsidRPr="00F250A4">
          <w:rPr>
            <w:rStyle w:val="Hyperlink"/>
            <w:noProof/>
          </w:rPr>
          <w:t>g L</w:t>
        </w:r>
        <w:r w:rsidR="002C014F" w:rsidRPr="00F250A4">
          <w:rPr>
            <w:rStyle w:val="Hyperlink"/>
            <w:noProof/>
            <w:vertAlign w:val="superscript"/>
          </w:rPr>
          <w:t>-1</w:t>
        </w:r>
        <w:r w:rsidR="002C014F" w:rsidRPr="00F250A4">
          <w:rPr>
            <w:rStyle w:val="Hyperlink"/>
            <w:noProof/>
          </w:rPr>
          <w:t xml:space="preserve"> para principais elementos inorgânicos em água-metais totais</w:t>
        </w:r>
        <w:r w:rsidR="002C014F">
          <w:rPr>
            <w:noProof/>
            <w:webHidden/>
          </w:rPr>
          <w:tab/>
        </w:r>
        <w:r w:rsidR="002C014F">
          <w:rPr>
            <w:noProof/>
            <w:webHidden/>
          </w:rPr>
          <w:fldChar w:fldCharType="begin"/>
        </w:r>
        <w:r w:rsidR="002C014F">
          <w:rPr>
            <w:noProof/>
            <w:webHidden/>
          </w:rPr>
          <w:instrText xml:space="preserve"> PAGEREF _Toc46992176 \h </w:instrText>
        </w:r>
        <w:r w:rsidR="002C014F">
          <w:rPr>
            <w:noProof/>
            <w:webHidden/>
          </w:rPr>
        </w:r>
        <w:r w:rsidR="002C014F">
          <w:rPr>
            <w:noProof/>
            <w:webHidden/>
          </w:rPr>
          <w:fldChar w:fldCharType="separate"/>
        </w:r>
        <w:r w:rsidR="002C014F">
          <w:rPr>
            <w:noProof/>
            <w:webHidden/>
          </w:rPr>
          <w:t>9</w:t>
        </w:r>
        <w:r w:rsidR="002C014F">
          <w:rPr>
            <w:noProof/>
            <w:webHidden/>
          </w:rPr>
          <w:fldChar w:fldCharType="end"/>
        </w:r>
      </w:hyperlink>
    </w:p>
    <w:p w14:paraId="1F28F68B" w14:textId="322A2356"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77" w:history="1">
        <w:r w:rsidRPr="00F250A4">
          <w:rPr>
            <w:rStyle w:val="Hyperlink"/>
            <w:noProof/>
          </w:rPr>
          <w:t>Tabela 2 - Percentual de não conformidades na água para alguns elementos no parâmetro de metais totais comparado aos limites CONAMA classe 2</w:t>
        </w:r>
        <w:r>
          <w:rPr>
            <w:noProof/>
            <w:webHidden/>
          </w:rPr>
          <w:tab/>
        </w:r>
        <w:r>
          <w:rPr>
            <w:noProof/>
            <w:webHidden/>
          </w:rPr>
          <w:fldChar w:fldCharType="begin"/>
        </w:r>
        <w:r>
          <w:rPr>
            <w:noProof/>
            <w:webHidden/>
          </w:rPr>
          <w:instrText xml:space="preserve"> PAGEREF _Toc46992177 \h </w:instrText>
        </w:r>
        <w:r>
          <w:rPr>
            <w:noProof/>
            <w:webHidden/>
          </w:rPr>
        </w:r>
        <w:r>
          <w:rPr>
            <w:noProof/>
            <w:webHidden/>
          </w:rPr>
          <w:fldChar w:fldCharType="separate"/>
        </w:r>
        <w:r>
          <w:rPr>
            <w:noProof/>
            <w:webHidden/>
          </w:rPr>
          <w:t>14</w:t>
        </w:r>
        <w:r>
          <w:rPr>
            <w:noProof/>
            <w:webHidden/>
          </w:rPr>
          <w:fldChar w:fldCharType="end"/>
        </w:r>
      </w:hyperlink>
    </w:p>
    <w:p w14:paraId="01870333" w14:textId="2935EF8C"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78" w:history="1">
        <w:r w:rsidRPr="00F250A4">
          <w:rPr>
            <w:rStyle w:val="Hyperlink"/>
            <w:noProof/>
          </w:rPr>
          <w:t>Tabela 3 - Percentual de não conformidades na água para alguns elementos no parâmetro de metais totais comparado aos limites NOAA crônico</w:t>
        </w:r>
        <w:r>
          <w:rPr>
            <w:noProof/>
            <w:webHidden/>
          </w:rPr>
          <w:tab/>
        </w:r>
        <w:r>
          <w:rPr>
            <w:noProof/>
            <w:webHidden/>
          </w:rPr>
          <w:fldChar w:fldCharType="begin"/>
        </w:r>
        <w:r>
          <w:rPr>
            <w:noProof/>
            <w:webHidden/>
          </w:rPr>
          <w:instrText xml:space="preserve"> PAGEREF _Toc46992178 \h </w:instrText>
        </w:r>
        <w:r>
          <w:rPr>
            <w:noProof/>
            <w:webHidden/>
          </w:rPr>
        </w:r>
        <w:r>
          <w:rPr>
            <w:noProof/>
            <w:webHidden/>
          </w:rPr>
          <w:fldChar w:fldCharType="separate"/>
        </w:r>
        <w:r>
          <w:rPr>
            <w:noProof/>
            <w:webHidden/>
          </w:rPr>
          <w:t>14</w:t>
        </w:r>
        <w:r>
          <w:rPr>
            <w:noProof/>
            <w:webHidden/>
          </w:rPr>
          <w:fldChar w:fldCharType="end"/>
        </w:r>
      </w:hyperlink>
    </w:p>
    <w:p w14:paraId="33926C32" w14:textId="49F8E71F"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79" w:history="1">
        <w:r w:rsidRPr="00F250A4">
          <w:rPr>
            <w:rStyle w:val="Hyperlink"/>
            <w:noProof/>
          </w:rPr>
          <w:t>Tabela 4 - Concentrações de alguns elementos na água para o parâmetro metais totais segundo IEMA e PMBA  para o Rio Doce</w:t>
        </w:r>
        <w:r>
          <w:rPr>
            <w:noProof/>
            <w:webHidden/>
          </w:rPr>
          <w:tab/>
        </w:r>
        <w:r>
          <w:rPr>
            <w:noProof/>
            <w:webHidden/>
          </w:rPr>
          <w:fldChar w:fldCharType="begin"/>
        </w:r>
        <w:r>
          <w:rPr>
            <w:noProof/>
            <w:webHidden/>
          </w:rPr>
          <w:instrText xml:space="preserve"> PAGEREF _Toc46992179 \h </w:instrText>
        </w:r>
        <w:r>
          <w:rPr>
            <w:noProof/>
            <w:webHidden/>
          </w:rPr>
        </w:r>
        <w:r>
          <w:rPr>
            <w:noProof/>
            <w:webHidden/>
          </w:rPr>
          <w:fldChar w:fldCharType="separate"/>
        </w:r>
        <w:r>
          <w:rPr>
            <w:noProof/>
            <w:webHidden/>
          </w:rPr>
          <w:t>18</w:t>
        </w:r>
        <w:r>
          <w:rPr>
            <w:noProof/>
            <w:webHidden/>
          </w:rPr>
          <w:fldChar w:fldCharType="end"/>
        </w:r>
      </w:hyperlink>
    </w:p>
    <w:p w14:paraId="134D7FE4" w14:textId="585E4B00" w:rsidR="002C014F" w:rsidRDefault="002C014F">
      <w:pPr>
        <w:pStyle w:val="ndicedeilustraes"/>
        <w:tabs>
          <w:tab w:val="left" w:pos="1200"/>
          <w:tab w:val="right" w:leader="dot" w:pos="9061"/>
        </w:tabs>
        <w:rPr>
          <w:rFonts w:asciiTheme="minorHAnsi" w:eastAsiaTheme="minorEastAsia" w:hAnsiTheme="minorHAnsi"/>
          <w:noProof/>
          <w:sz w:val="22"/>
          <w:lang w:eastAsia="pt-BR"/>
        </w:rPr>
      </w:pPr>
      <w:hyperlink w:anchor="_Toc46992180" w:history="1">
        <w:r w:rsidRPr="00F250A4">
          <w:rPr>
            <w:rStyle w:val="Hyperlink"/>
            <w:noProof/>
          </w:rPr>
          <w:t xml:space="preserve">Tabela 5 </w:t>
        </w:r>
        <w:r>
          <w:rPr>
            <w:rFonts w:asciiTheme="minorHAnsi" w:eastAsiaTheme="minorEastAsia" w:hAnsiTheme="minorHAnsi"/>
            <w:noProof/>
            <w:sz w:val="22"/>
            <w:lang w:eastAsia="pt-BR"/>
          </w:rPr>
          <w:tab/>
        </w:r>
        <w:r w:rsidRPr="00F250A4">
          <w:rPr>
            <w:rStyle w:val="Hyperlink"/>
            <w:noProof/>
          </w:rPr>
          <w:t>Comparação das médias de concentrações em µg L</w:t>
        </w:r>
        <w:r w:rsidRPr="00F250A4">
          <w:rPr>
            <w:rStyle w:val="Hyperlink"/>
            <w:noProof/>
            <w:vertAlign w:val="superscript"/>
          </w:rPr>
          <w:t>-1</w:t>
        </w:r>
        <w:r w:rsidRPr="00F250A4">
          <w:rPr>
            <w:rStyle w:val="Hyperlink"/>
            <w:noProof/>
          </w:rPr>
          <w:t xml:space="preserve"> para alguns elementos inorgânicos em água metais dissolvidos</w:t>
        </w:r>
        <w:r>
          <w:rPr>
            <w:noProof/>
            <w:webHidden/>
          </w:rPr>
          <w:tab/>
        </w:r>
        <w:r>
          <w:rPr>
            <w:noProof/>
            <w:webHidden/>
          </w:rPr>
          <w:fldChar w:fldCharType="begin"/>
        </w:r>
        <w:r>
          <w:rPr>
            <w:noProof/>
            <w:webHidden/>
          </w:rPr>
          <w:instrText xml:space="preserve"> PAGEREF _Toc46992180 \h </w:instrText>
        </w:r>
        <w:r>
          <w:rPr>
            <w:noProof/>
            <w:webHidden/>
          </w:rPr>
        </w:r>
        <w:r>
          <w:rPr>
            <w:noProof/>
            <w:webHidden/>
          </w:rPr>
          <w:fldChar w:fldCharType="separate"/>
        </w:r>
        <w:r>
          <w:rPr>
            <w:noProof/>
            <w:webHidden/>
          </w:rPr>
          <w:t>19</w:t>
        </w:r>
        <w:r>
          <w:rPr>
            <w:noProof/>
            <w:webHidden/>
          </w:rPr>
          <w:fldChar w:fldCharType="end"/>
        </w:r>
      </w:hyperlink>
    </w:p>
    <w:p w14:paraId="1F2FFA43" w14:textId="4A9E59C4"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81" w:history="1">
        <w:r w:rsidRPr="00F250A4">
          <w:rPr>
            <w:rStyle w:val="Hyperlink"/>
            <w:noProof/>
          </w:rPr>
          <w:t>Tabela 6 - Percentual de não conformidades na água para Fe e Cu no parâmetro de metais dissolvidos comparado aos limites CONAMA classe 2</w:t>
        </w:r>
        <w:r>
          <w:rPr>
            <w:noProof/>
            <w:webHidden/>
          </w:rPr>
          <w:tab/>
        </w:r>
        <w:r>
          <w:rPr>
            <w:noProof/>
            <w:webHidden/>
          </w:rPr>
          <w:fldChar w:fldCharType="begin"/>
        </w:r>
        <w:r>
          <w:rPr>
            <w:noProof/>
            <w:webHidden/>
          </w:rPr>
          <w:instrText xml:space="preserve"> PAGEREF _Toc46992181 \h </w:instrText>
        </w:r>
        <w:r>
          <w:rPr>
            <w:noProof/>
            <w:webHidden/>
          </w:rPr>
        </w:r>
        <w:r>
          <w:rPr>
            <w:noProof/>
            <w:webHidden/>
          </w:rPr>
          <w:fldChar w:fldCharType="separate"/>
        </w:r>
        <w:r>
          <w:rPr>
            <w:noProof/>
            <w:webHidden/>
          </w:rPr>
          <w:t>24</w:t>
        </w:r>
        <w:r>
          <w:rPr>
            <w:noProof/>
            <w:webHidden/>
          </w:rPr>
          <w:fldChar w:fldCharType="end"/>
        </w:r>
      </w:hyperlink>
    </w:p>
    <w:p w14:paraId="0EA0AB2B" w14:textId="6614D297"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82" w:history="1">
        <w:r w:rsidRPr="00F250A4">
          <w:rPr>
            <w:rStyle w:val="Hyperlink"/>
            <w:noProof/>
          </w:rPr>
          <w:t>Tabela 7 - Limites CONAMA classe 2 e NOAA crônico, bem como índices de não conformidade para todas as amostras analisadas para os PCBs totais.</w:t>
        </w:r>
        <w:r>
          <w:rPr>
            <w:noProof/>
            <w:webHidden/>
          </w:rPr>
          <w:tab/>
        </w:r>
        <w:r>
          <w:rPr>
            <w:noProof/>
            <w:webHidden/>
          </w:rPr>
          <w:fldChar w:fldCharType="begin"/>
        </w:r>
        <w:r>
          <w:rPr>
            <w:noProof/>
            <w:webHidden/>
          </w:rPr>
          <w:instrText xml:space="preserve"> PAGEREF _Toc46992182 \h </w:instrText>
        </w:r>
        <w:r>
          <w:rPr>
            <w:noProof/>
            <w:webHidden/>
          </w:rPr>
        </w:r>
        <w:r>
          <w:rPr>
            <w:noProof/>
            <w:webHidden/>
          </w:rPr>
          <w:fldChar w:fldCharType="separate"/>
        </w:r>
        <w:r>
          <w:rPr>
            <w:noProof/>
            <w:webHidden/>
          </w:rPr>
          <w:t>30</w:t>
        </w:r>
        <w:r>
          <w:rPr>
            <w:noProof/>
            <w:webHidden/>
          </w:rPr>
          <w:fldChar w:fldCharType="end"/>
        </w:r>
      </w:hyperlink>
    </w:p>
    <w:p w14:paraId="44D34765" w14:textId="293FCFC9"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83" w:history="1">
        <w:r w:rsidRPr="00F250A4">
          <w:rPr>
            <w:rStyle w:val="Hyperlink"/>
            <w:noProof/>
          </w:rPr>
          <w:t>Tabela 8 - Limites do CONAMA Classe 3 e NOAA crônico, bem como os índices de não conformidade em todas as amostras de água analisadas para o parâmetro pesticida.</w:t>
        </w:r>
        <w:r>
          <w:rPr>
            <w:noProof/>
            <w:webHidden/>
          </w:rPr>
          <w:tab/>
        </w:r>
        <w:r>
          <w:rPr>
            <w:noProof/>
            <w:webHidden/>
          </w:rPr>
          <w:fldChar w:fldCharType="begin"/>
        </w:r>
        <w:r>
          <w:rPr>
            <w:noProof/>
            <w:webHidden/>
          </w:rPr>
          <w:instrText xml:space="preserve"> PAGEREF _Toc46992183 \h </w:instrText>
        </w:r>
        <w:r>
          <w:rPr>
            <w:noProof/>
            <w:webHidden/>
          </w:rPr>
        </w:r>
        <w:r>
          <w:rPr>
            <w:noProof/>
            <w:webHidden/>
          </w:rPr>
          <w:fldChar w:fldCharType="separate"/>
        </w:r>
        <w:r>
          <w:rPr>
            <w:noProof/>
            <w:webHidden/>
          </w:rPr>
          <w:t>33</w:t>
        </w:r>
        <w:r>
          <w:rPr>
            <w:noProof/>
            <w:webHidden/>
          </w:rPr>
          <w:fldChar w:fldCharType="end"/>
        </w:r>
      </w:hyperlink>
    </w:p>
    <w:p w14:paraId="7866BF0F" w14:textId="46184793"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84" w:history="1">
        <w:r w:rsidRPr="00F250A4">
          <w:rPr>
            <w:rStyle w:val="Hyperlink"/>
            <w:noProof/>
          </w:rPr>
          <w:t>Tabela 9 - Limites CONAMA classe 2 e NOAA crônico, bem como índices de não conformidade para todas as amostras analisadas para os poliaromáticos</w:t>
        </w:r>
        <w:r>
          <w:rPr>
            <w:noProof/>
            <w:webHidden/>
          </w:rPr>
          <w:tab/>
        </w:r>
        <w:r>
          <w:rPr>
            <w:noProof/>
            <w:webHidden/>
          </w:rPr>
          <w:fldChar w:fldCharType="begin"/>
        </w:r>
        <w:r>
          <w:rPr>
            <w:noProof/>
            <w:webHidden/>
          </w:rPr>
          <w:instrText xml:space="preserve"> PAGEREF _Toc46992184 \h </w:instrText>
        </w:r>
        <w:r>
          <w:rPr>
            <w:noProof/>
            <w:webHidden/>
          </w:rPr>
        </w:r>
        <w:r>
          <w:rPr>
            <w:noProof/>
            <w:webHidden/>
          </w:rPr>
          <w:fldChar w:fldCharType="separate"/>
        </w:r>
        <w:r>
          <w:rPr>
            <w:noProof/>
            <w:webHidden/>
          </w:rPr>
          <w:t>40</w:t>
        </w:r>
        <w:r>
          <w:rPr>
            <w:noProof/>
            <w:webHidden/>
          </w:rPr>
          <w:fldChar w:fldCharType="end"/>
        </w:r>
      </w:hyperlink>
    </w:p>
    <w:p w14:paraId="18BCACB2" w14:textId="27C385BC"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85" w:history="1">
        <w:r w:rsidRPr="00F250A4">
          <w:rPr>
            <w:rStyle w:val="Hyperlink"/>
            <w:noProof/>
          </w:rPr>
          <w:t>Tabela 10 - Limites CONAMA 357/2005 classe 2 e NOAA crônico, bem como índices de não conformidade para todas as amostras analisadas para os fenóis.</w:t>
        </w:r>
        <w:r>
          <w:rPr>
            <w:noProof/>
            <w:webHidden/>
          </w:rPr>
          <w:tab/>
        </w:r>
        <w:r>
          <w:rPr>
            <w:noProof/>
            <w:webHidden/>
          </w:rPr>
          <w:fldChar w:fldCharType="begin"/>
        </w:r>
        <w:r>
          <w:rPr>
            <w:noProof/>
            <w:webHidden/>
          </w:rPr>
          <w:instrText xml:space="preserve"> PAGEREF _Toc46992185 \h </w:instrText>
        </w:r>
        <w:r>
          <w:rPr>
            <w:noProof/>
            <w:webHidden/>
          </w:rPr>
        </w:r>
        <w:r>
          <w:rPr>
            <w:noProof/>
            <w:webHidden/>
          </w:rPr>
          <w:fldChar w:fldCharType="separate"/>
        </w:r>
        <w:r>
          <w:rPr>
            <w:noProof/>
            <w:webHidden/>
          </w:rPr>
          <w:t>56</w:t>
        </w:r>
        <w:r>
          <w:rPr>
            <w:noProof/>
            <w:webHidden/>
          </w:rPr>
          <w:fldChar w:fldCharType="end"/>
        </w:r>
      </w:hyperlink>
    </w:p>
    <w:p w14:paraId="1939E116" w14:textId="0CFDEB40"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86" w:history="1">
        <w:r w:rsidRPr="00F250A4">
          <w:rPr>
            <w:rStyle w:val="Hyperlink"/>
            <w:noProof/>
          </w:rPr>
          <w:t>Tabela 11 – Valores das médias de concentrações em mg kg</w:t>
        </w:r>
        <w:r w:rsidRPr="00F250A4">
          <w:rPr>
            <w:rStyle w:val="Hyperlink"/>
            <w:noProof/>
            <w:vertAlign w:val="superscript"/>
          </w:rPr>
          <w:t>-1</w:t>
        </w:r>
        <w:r w:rsidRPr="00F250A4">
          <w:rPr>
            <w:rStyle w:val="Hyperlink"/>
            <w:noProof/>
          </w:rPr>
          <w:t xml:space="preserve"> para alguns elementos inorgânicos em sedimentos metais totais</w:t>
        </w:r>
        <w:r>
          <w:rPr>
            <w:noProof/>
            <w:webHidden/>
          </w:rPr>
          <w:tab/>
        </w:r>
        <w:r>
          <w:rPr>
            <w:noProof/>
            <w:webHidden/>
          </w:rPr>
          <w:fldChar w:fldCharType="begin"/>
        </w:r>
        <w:r>
          <w:rPr>
            <w:noProof/>
            <w:webHidden/>
          </w:rPr>
          <w:instrText xml:space="preserve"> PAGEREF _Toc46992186 \h </w:instrText>
        </w:r>
        <w:r>
          <w:rPr>
            <w:noProof/>
            <w:webHidden/>
          </w:rPr>
        </w:r>
        <w:r>
          <w:rPr>
            <w:noProof/>
            <w:webHidden/>
          </w:rPr>
          <w:fldChar w:fldCharType="separate"/>
        </w:r>
        <w:r>
          <w:rPr>
            <w:noProof/>
            <w:webHidden/>
          </w:rPr>
          <w:t>65</w:t>
        </w:r>
        <w:r>
          <w:rPr>
            <w:noProof/>
            <w:webHidden/>
          </w:rPr>
          <w:fldChar w:fldCharType="end"/>
        </w:r>
      </w:hyperlink>
    </w:p>
    <w:p w14:paraId="5C7CDA37" w14:textId="1E3F94E6"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87" w:history="1">
        <w:r w:rsidRPr="00F250A4">
          <w:rPr>
            <w:rStyle w:val="Hyperlink"/>
            <w:noProof/>
          </w:rPr>
          <w:t>Tabela 12 - Percentual de não conformidades no sedimento para alguns elementos no parâmetro de metais totais comparado aos limites CONAMA e NOA PEL</w:t>
        </w:r>
        <w:r>
          <w:rPr>
            <w:noProof/>
            <w:webHidden/>
          </w:rPr>
          <w:tab/>
        </w:r>
        <w:r>
          <w:rPr>
            <w:noProof/>
            <w:webHidden/>
          </w:rPr>
          <w:fldChar w:fldCharType="begin"/>
        </w:r>
        <w:r>
          <w:rPr>
            <w:noProof/>
            <w:webHidden/>
          </w:rPr>
          <w:instrText xml:space="preserve"> PAGEREF _Toc46992187 \h </w:instrText>
        </w:r>
        <w:r>
          <w:rPr>
            <w:noProof/>
            <w:webHidden/>
          </w:rPr>
        </w:r>
        <w:r>
          <w:rPr>
            <w:noProof/>
            <w:webHidden/>
          </w:rPr>
          <w:fldChar w:fldCharType="separate"/>
        </w:r>
        <w:r>
          <w:rPr>
            <w:noProof/>
            <w:webHidden/>
          </w:rPr>
          <w:t>70</w:t>
        </w:r>
        <w:r>
          <w:rPr>
            <w:noProof/>
            <w:webHidden/>
          </w:rPr>
          <w:fldChar w:fldCharType="end"/>
        </w:r>
      </w:hyperlink>
    </w:p>
    <w:p w14:paraId="3CCC45EC" w14:textId="034F16E9"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88" w:history="1">
        <w:r w:rsidRPr="00F250A4">
          <w:rPr>
            <w:rStyle w:val="Hyperlink"/>
            <w:noProof/>
          </w:rPr>
          <w:t>Tabela 13 - Concentrações de alguns elementos no sedimento para o parâmetro metais totais segundo IEMA e PMBA</w:t>
        </w:r>
        <w:r>
          <w:rPr>
            <w:noProof/>
            <w:webHidden/>
          </w:rPr>
          <w:tab/>
        </w:r>
        <w:r>
          <w:rPr>
            <w:noProof/>
            <w:webHidden/>
          </w:rPr>
          <w:fldChar w:fldCharType="begin"/>
        </w:r>
        <w:r>
          <w:rPr>
            <w:noProof/>
            <w:webHidden/>
          </w:rPr>
          <w:instrText xml:space="preserve"> PAGEREF _Toc46992188 \h </w:instrText>
        </w:r>
        <w:r>
          <w:rPr>
            <w:noProof/>
            <w:webHidden/>
          </w:rPr>
        </w:r>
        <w:r>
          <w:rPr>
            <w:noProof/>
            <w:webHidden/>
          </w:rPr>
          <w:fldChar w:fldCharType="separate"/>
        </w:r>
        <w:r>
          <w:rPr>
            <w:noProof/>
            <w:webHidden/>
          </w:rPr>
          <w:t>73</w:t>
        </w:r>
        <w:r>
          <w:rPr>
            <w:noProof/>
            <w:webHidden/>
          </w:rPr>
          <w:fldChar w:fldCharType="end"/>
        </w:r>
      </w:hyperlink>
    </w:p>
    <w:p w14:paraId="03A355B1" w14:textId="62380B41" w:rsidR="002C014F" w:rsidRDefault="002C014F">
      <w:pPr>
        <w:pStyle w:val="ndicedeilustraes"/>
        <w:tabs>
          <w:tab w:val="right" w:leader="dot" w:pos="9061"/>
        </w:tabs>
        <w:rPr>
          <w:rFonts w:asciiTheme="minorHAnsi" w:eastAsiaTheme="minorEastAsia" w:hAnsiTheme="minorHAnsi"/>
          <w:noProof/>
          <w:sz w:val="22"/>
          <w:lang w:eastAsia="pt-BR"/>
        </w:rPr>
      </w:pPr>
      <w:hyperlink w:anchor="_Toc46992189" w:history="1">
        <w:r w:rsidRPr="00F250A4">
          <w:rPr>
            <w:rStyle w:val="Hyperlink"/>
            <w:noProof/>
          </w:rPr>
          <w:t>Tabela 14 - Limites CONAMA classe 2 e NOAA crônico, bem como índices de não conformidade para todas as amostras analisadas para os poliaromáticos</w:t>
        </w:r>
        <w:r>
          <w:rPr>
            <w:noProof/>
            <w:webHidden/>
          </w:rPr>
          <w:tab/>
        </w:r>
        <w:r>
          <w:rPr>
            <w:noProof/>
            <w:webHidden/>
          </w:rPr>
          <w:fldChar w:fldCharType="begin"/>
        </w:r>
        <w:r>
          <w:rPr>
            <w:noProof/>
            <w:webHidden/>
          </w:rPr>
          <w:instrText xml:space="preserve"> PAGEREF _Toc46992189 \h </w:instrText>
        </w:r>
        <w:r>
          <w:rPr>
            <w:noProof/>
            <w:webHidden/>
          </w:rPr>
        </w:r>
        <w:r>
          <w:rPr>
            <w:noProof/>
            <w:webHidden/>
          </w:rPr>
          <w:fldChar w:fldCharType="separate"/>
        </w:r>
        <w:r>
          <w:rPr>
            <w:noProof/>
            <w:webHidden/>
          </w:rPr>
          <w:t>79</w:t>
        </w:r>
        <w:r>
          <w:rPr>
            <w:noProof/>
            <w:webHidden/>
          </w:rPr>
          <w:fldChar w:fldCharType="end"/>
        </w:r>
      </w:hyperlink>
    </w:p>
    <w:p w14:paraId="566803A4" w14:textId="2C1B0A72" w:rsidR="00D90B2E" w:rsidRDefault="00D90B2E" w:rsidP="00BC642A">
      <w:r>
        <w:fldChar w:fldCharType="end"/>
      </w:r>
    </w:p>
    <w:p w14:paraId="32099C4D" w14:textId="77777777" w:rsidR="00326D20" w:rsidRDefault="00326D20" w:rsidP="00326D20">
      <w:pPr>
        <w:spacing w:before="0" w:line="259" w:lineRule="auto"/>
        <w:jc w:val="center"/>
        <w:rPr>
          <w:b/>
          <w:bCs/>
        </w:rPr>
      </w:pPr>
    </w:p>
    <w:p w14:paraId="35BE0300" w14:textId="77777777" w:rsidR="00326D20" w:rsidRDefault="00326D20">
      <w:pPr>
        <w:spacing w:before="0" w:line="259" w:lineRule="auto"/>
        <w:jc w:val="left"/>
        <w:sectPr w:rsidR="00326D20" w:rsidSect="00F3091D">
          <w:headerReference w:type="default" r:id="rId9"/>
          <w:footerReference w:type="default" r:id="rId10"/>
          <w:pgSz w:w="11906" w:h="16838"/>
          <w:pgMar w:top="1701" w:right="1134" w:bottom="1134" w:left="1701" w:header="680" w:footer="567" w:gutter="0"/>
          <w:cols w:space="708"/>
          <w:docGrid w:linePitch="360"/>
        </w:sectPr>
      </w:pPr>
    </w:p>
    <w:p w14:paraId="357BC004" w14:textId="77777777" w:rsidR="00EC0C73" w:rsidRPr="00EC0C73" w:rsidRDefault="00EC0C73" w:rsidP="00EC0C73">
      <w:pPr>
        <w:pStyle w:val="Ttulo1"/>
      </w:pPr>
      <w:bookmarkStart w:id="7" w:name="_Toc46992113"/>
      <w:bookmarkEnd w:id="0"/>
      <w:bookmarkEnd w:id="1"/>
      <w:bookmarkEnd w:id="2"/>
      <w:bookmarkEnd w:id="3"/>
      <w:bookmarkEnd w:id="4"/>
      <w:bookmarkEnd w:id="5"/>
      <w:bookmarkEnd w:id="6"/>
      <w:r w:rsidRPr="00EC0C73">
        <w:lastRenderedPageBreak/>
        <w:t>Resultados</w:t>
      </w:r>
      <w:bookmarkEnd w:id="7"/>
    </w:p>
    <w:p w14:paraId="67823B02" w14:textId="2CB0D27A" w:rsidR="00EC0C73" w:rsidRDefault="00EC0C73" w:rsidP="0037413C">
      <w:pPr>
        <w:pStyle w:val="Ttulo2"/>
        <w:rPr>
          <w:rStyle w:val="Ttulo2Char"/>
        </w:rPr>
      </w:pPr>
      <w:bookmarkStart w:id="8" w:name="_Toc46992114"/>
      <w:r w:rsidRPr="0037413C">
        <w:rPr>
          <w:rStyle w:val="Ttulo2Char"/>
        </w:rPr>
        <w:t>METAIS EM ÁGUA</w:t>
      </w:r>
      <w:bookmarkEnd w:id="8"/>
    </w:p>
    <w:p w14:paraId="5A38D4F8" w14:textId="37D90E36" w:rsidR="006E18B8" w:rsidRDefault="006E18B8" w:rsidP="005C2856">
      <w:pPr>
        <w:ind w:firstLine="578"/>
      </w:pPr>
      <w:r>
        <w:t>Durante o período de transição, que compreende o período d</w:t>
      </w:r>
      <w:r w:rsidR="00DB0C9F">
        <w:t>os</w:t>
      </w:r>
      <w:r>
        <w:t xml:space="preserve"> meses de novembro de 2019 a fevereiro de 2020, foram analisadas 136 amostras de água, sendo metade para o parâmetro de água metais totais e a outra metade para metais dissolvidos. Dessas 68 amostras</w:t>
      </w:r>
      <w:r w:rsidR="00FA3749">
        <w:t>,</w:t>
      </w:r>
      <w:r>
        <w:t xml:space="preserve"> 4 são do Rio Guandu, 16 do Rio Doce, 36 dos </w:t>
      </w:r>
      <w:r w:rsidR="00FA3749">
        <w:t>L</w:t>
      </w:r>
      <w:r>
        <w:t xml:space="preserve">agos e 12 das </w:t>
      </w:r>
      <w:r w:rsidR="00FA3749">
        <w:t>L</w:t>
      </w:r>
      <w:r>
        <w:t>agoas pertencentes a malha amostral do PMBA.</w:t>
      </w:r>
    </w:p>
    <w:p w14:paraId="514F25E7" w14:textId="0EB2CBF3" w:rsidR="006E18B8" w:rsidRDefault="006E18B8" w:rsidP="005C2856">
      <w:pPr>
        <w:ind w:firstLine="578"/>
      </w:pPr>
      <w:r>
        <w:t>Neste relatório ser</w:t>
      </w:r>
      <w:r w:rsidR="00FA3749">
        <w:t>ão</w:t>
      </w:r>
      <w:r>
        <w:t xml:space="preserve"> apresentado</w:t>
      </w:r>
      <w:r w:rsidR="00FA3749">
        <w:t>s</w:t>
      </w:r>
      <w:r>
        <w:t xml:space="preserve"> separadamente os parâmetros de metais totais e metais dissolvidos, considerando em cada caso primeiramente uma visão geral dos principais elementos inorgânicos presentes nos quatro ambientes dulcícolas estudados, sendo comparados entre si durante o período de </w:t>
      </w:r>
      <w:proofErr w:type="spellStart"/>
      <w:r>
        <w:t>transição</w:t>
      </w:r>
      <w:r w:rsidR="002C014F">
        <w:t>er</w:t>
      </w:r>
      <w:proofErr w:type="spellEnd"/>
      <w:r>
        <w:t xml:space="preserve"> e com o ano 1 do PMBA. Em seguida, serão apresentadas as não conformidades, conforme limites CONAMA e NOAA, de elementos considerados indicadores após conclusão do relatório do ano 1.</w:t>
      </w:r>
    </w:p>
    <w:p w14:paraId="0A1EA89A" w14:textId="3987F491" w:rsidR="00EC0C73" w:rsidRDefault="00EC0C73" w:rsidP="0037413C">
      <w:pPr>
        <w:pStyle w:val="Ttulo3"/>
      </w:pPr>
      <w:bookmarkStart w:id="9" w:name="_Toc46992115"/>
      <w:r w:rsidRPr="00371BB0">
        <w:t xml:space="preserve">Metais </w:t>
      </w:r>
      <w:r w:rsidR="006E18B8">
        <w:t>totais</w:t>
      </w:r>
      <w:bookmarkEnd w:id="9"/>
    </w:p>
    <w:p w14:paraId="04B97032" w14:textId="6CE5EA43" w:rsidR="00C01F08" w:rsidRDefault="006E18B8" w:rsidP="005C2856">
      <w:pPr>
        <w:ind w:firstLine="360"/>
        <w:rPr>
          <w:rFonts w:cstheme="minorHAnsi"/>
        </w:rPr>
      </w:pPr>
      <w:r w:rsidRPr="00B31870">
        <w:rPr>
          <w:rFonts w:cstheme="minorHAnsi"/>
        </w:rPr>
        <w:t xml:space="preserve">Na </w:t>
      </w:r>
      <w:r w:rsidRPr="00B31870">
        <w:rPr>
          <w:rFonts w:cstheme="minorHAnsi"/>
        </w:rPr>
        <w:fldChar w:fldCharType="begin"/>
      </w:r>
      <w:r w:rsidRPr="00B31870">
        <w:rPr>
          <w:rFonts w:cstheme="minorHAnsi"/>
        </w:rPr>
        <w:instrText xml:space="preserve"> REF _Ref42078082 \h </w:instrText>
      </w:r>
      <w:r w:rsidRPr="00B31870">
        <w:rPr>
          <w:rFonts w:cstheme="minorHAnsi"/>
        </w:rPr>
      </w:r>
      <w:r w:rsidRPr="00B31870">
        <w:rPr>
          <w:rFonts w:cstheme="minorHAnsi"/>
        </w:rPr>
        <w:fldChar w:fldCharType="separate"/>
      </w:r>
      <w:r w:rsidR="002C014F">
        <w:t xml:space="preserve">Tabela </w:t>
      </w:r>
      <w:r w:rsidR="002C014F">
        <w:rPr>
          <w:noProof/>
        </w:rPr>
        <w:t>1</w:t>
      </w:r>
      <w:r w:rsidRPr="00B31870">
        <w:rPr>
          <w:rFonts w:cstheme="minorHAnsi"/>
        </w:rPr>
        <w:fldChar w:fldCharType="end"/>
      </w:r>
      <w:r w:rsidRPr="00B31870">
        <w:rPr>
          <w:rFonts w:cstheme="minorHAnsi"/>
        </w:rPr>
        <w:t xml:space="preserve"> estão apresentadas as médias das concentrações para </w:t>
      </w:r>
      <w:r w:rsidR="00FA3749">
        <w:rPr>
          <w:rFonts w:cstheme="minorHAnsi"/>
        </w:rPr>
        <w:t xml:space="preserve">os </w:t>
      </w:r>
      <w:r w:rsidRPr="00B31870">
        <w:rPr>
          <w:rFonts w:cstheme="minorHAnsi"/>
        </w:rPr>
        <w:t>elementos em água</w:t>
      </w:r>
      <w:r w:rsidR="00FA3749">
        <w:rPr>
          <w:rFonts w:cstheme="minorHAnsi"/>
        </w:rPr>
        <w:t>-</w:t>
      </w:r>
      <w:r w:rsidR="00FA3749" w:rsidRPr="00B31870">
        <w:rPr>
          <w:rFonts w:cstheme="minorHAnsi"/>
        </w:rPr>
        <w:t>parâmetro de metais totais</w:t>
      </w:r>
      <w:r w:rsidR="00FA3749">
        <w:rPr>
          <w:rFonts w:cstheme="minorHAnsi"/>
        </w:rPr>
        <w:t>,</w:t>
      </w:r>
      <w:r w:rsidR="00633B41">
        <w:rPr>
          <w:rFonts w:cstheme="minorHAnsi"/>
        </w:rPr>
        <w:t xml:space="preserve"> </w:t>
      </w:r>
      <w:r w:rsidR="00FA3749">
        <w:rPr>
          <w:rFonts w:cstheme="minorHAnsi"/>
        </w:rPr>
        <w:t>elementos estes considerados os de maior relevância devido  a sua toxicidade ou correlação com a lama que foi derramada  no desastre de Mariana</w:t>
      </w:r>
      <w:r w:rsidRPr="00B31870">
        <w:rPr>
          <w:rFonts w:cstheme="minorHAnsi"/>
        </w:rPr>
        <w:t xml:space="preserve">. </w:t>
      </w:r>
      <w:r w:rsidR="00FA3749">
        <w:rPr>
          <w:rFonts w:cstheme="minorHAnsi"/>
        </w:rPr>
        <w:t>Para efeito comparativo, os dados apresentados referem-se ao</w:t>
      </w:r>
      <w:r w:rsidRPr="00B31870">
        <w:rPr>
          <w:rFonts w:cstheme="minorHAnsi"/>
        </w:rPr>
        <w:t xml:space="preserve"> ano 1 do PMBA, que compreende o período de outubro de 2018 e setembro de 2019, e </w:t>
      </w:r>
      <w:r w:rsidR="00633B41">
        <w:rPr>
          <w:rFonts w:cstheme="minorHAnsi"/>
        </w:rPr>
        <w:t>ao</w:t>
      </w:r>
      <w:r w:rsidRPr="00B31870">
        <w:rPr>
          <w:rFonts w:cstheme="minorHAnsi"/>
        </w:rPr>
        <w:t xml:space="preserve"> período de transição, de novembro de 2019 a fevereiro de 2020.</w:t>
      </w:r>
    </w:p>
    <w:p w14:paraId="3AE60556" w14:textId="1767D094" w:rsidR="006E18B8" w:rsidRDefault="006E18B8" w:rsidP="006E18B8">
      <w:pPr>
        <w:rPr>
          <w:rFonts w:cstheme="minorHAnsi"/>
        </w:rPr>
      </w:pPr>
      <w:r>
        <w:rPr>
          <w:rFonts w:cstheme="minorHAnsi"/>
        </w:rPr>
        <w:br w:type="page"/>
      </w:r>
    </w:p>
    <w:p w14:paraId="0F77FC2D" w14:textId="730143D4" w:rsidR="006E18B8" w:rsidRDefault="006E18B8" w:rsidP="006E18B8">
      <w:pPr>
        <w:pStyle w:val="Legenda"/>
        <w:keepNext/>
        <w:numPr>
          <w:ilvl w:val="0"/>
          <w:numId w:val="9"/>
        </w:numPr>
        <w:spacing w:before="0" w:after="200" w:line="240" w:lineRule="auto"/>
      </w:pPr>
      <w:bookmarkStart w:id="10" w:name="_Ref42078082"/>
      <w:bookmarkStart w:id="11" w:name="_Toc46992176"/>
      <w:r>
        <w:lastRenderedPageBreak/>
        <w:t xml:space="preserve">Tabela </w:t>
      </w:r>
      <w:fldSimple w:instr=" SEQ Tabela \* ARABIC ">
        <w:r w:rsidR="002C014F">
          <w:rPr>
            <w:noProof/>
          </w:rPr>
          <w:t>1</w:t>
        </w:r>
      </w:fldSimple>
      <w:bookmarkEnd w:id="10"/>
      <w:r>
        <w:t xml:space="preserve"> - Comparação das médias de concentrações em </w:t>
      </w:r>
      <w:r>
        <w:rPr>
          <w:rFonts w:cstheme="minorHAnsi"/>
        </w:rPr>
        <w:t>µ</w:t>
      </w:r>
      <w:r>
        <w:t>g L</w:t>
      </w:r>
      <w:r>
        <w:rPr>
          <w:vertAlign w:val="superscript"/>
        </w:rPr>
        <w:t>-1</w:t>
      </w:r>
      <w:r>
        <w:t xml:space="preserve"> para </w:t>
      </w:r>
      <w:r w:rsidR="00633B41">
        <w:t xml:space="preserve">principais </w:t>
      </w:r>
      <w:r>
        <w:t xml:space="preserve">elementos inorgânicos em </w:t>
      </w:r>
      <w:proofErr w:type="spellStart"/>
      <w:r>
        <w:t>água</w:t>
      </w:r>
      <w:r w:rsidR="00633B41">
        <w:t>-</w:t>
      </w:r>
      <w:r>
        <w:t>metais</w:t>
      </w:r>
      <w:proofErr w:type="spellEnd"/>
      <w:r>
        <w:t xml:space="preserve"> totais</w:t>
      </w:r>
      <w:bookmarkEnd w:id="11"/>
    </w:p>
    <w:tbl>
      <w:tblPr>
        <w:tblW w:w="5000"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1075"/>
        <w:gridCol w:w="1328"/>
        <w:gridCol w:w="1014"/>
        <w:gridCol w:w="796"/>
        <w:gridCol w:w="791"/>
        <w:gridCol w:w="1421"/>
        <w:gridCol w:w="1087"/>
        <w:gridCol w:w="708"/>
        <w:gridCol w:w="851"/>
      </w:tblGrid>
      <w:tr w:rsidR="006E18B8" w:rsidRPr="006E18B8" w14:paraId="6BE7DC34" w14:textId="77777777" w:rsidTr="006E18B8">
        <w:trPr>
          <w:trHeight w:val="690"/>
          <w:tblHeader/>
          <w:jc w:val="center"/>
        </w:trPr>
        <w:tc>
          <w:tcPr>
            <w:tcW w:w="593" w:type="pct"/>
            <w:vMerge w:val="restart"/>
            <w:tcBorders>
              <w:top w:val="single" w:sz="4" w:space="0" w:color="auto"/>
              <w:bottom w:val="single" w:sz="4" w:space="0" w:color="auto"/>
            </w:tcBorders>
            <w:shd w:val="clear" w:color="auto" w:fill="auto"/>
            <w:noWrap/>
            <w:vAlign w:val="center"/>
            <w:hideMark/>
          </w:tcPr>
          <w:p w14:paraId="09120AF1" w14:textId="425497E1" w:rsidR="006E18B8" w:rsidRPr="006E18B8" w:rsidRDefault="006E18B8" w:rsidP="006E18B8">
            <w:pPr>
              <w:spacing w:before="0" w:after="0"/>
              <w:jc w:val="center"/>
              <w:rPr>
                <w:rFonts w:ascii="Calibri" w:eastAsia="Times New Roman" w:hAnsi="Calibri" w:cs="Calibri"/>
                <w:b/>
                <w:bCs/>
                <w:color w:val="000000"/>
                <w:lang w:eastAsia="pt-BR"/>
              </w:rPr>
            </w:pPr>
            <w:r w:rsidRPr="006E18B8">
              <w:rPr>
                <w:rFonts w:ascii="Calibri" w:eastAsia="Times New Roman" w:hAnsi="Calibri" w:cs="Calibri"/>
                <w:b/>
                <w:bCs/>
                <w:color w:val="000000"/>
                <w:lang w:eastAsia="pt-BR"/>
              </w:rPr>
              <w:t>Elemento</w:t>
            </w:r>
          </w:p>
        </w:tc>
        <w:tc>
          <w:tcPr>
            <w:tcW w:w="2166" w:type="pct"/>
            <w:gridSpan w:val="4"/>
            <w:tcBorders>
              <w:top w:val="single" w:sz="4" w:space="0" w:color="auto"/>
              <w:bottom w:val="single" w:sz="4" w:space="0" w:color="auto"/>
            </w:tcBorders>
            <w:shd w:val="clear" w:color="auto" w:fill="auto"/>
            <w:vAlign w:val="center"/>
            <w:hideMark/>
          </w:tcPr>
          <w:p w14:paraId="143A62B2" w14:textId="77777777" w:rsidR="006E18B8" w:rsidRPr="006E18B8" w:rsidRDefault="006E18B8" w:rsidP="006E18B8">
            <w:pPr>
              <w:spacing w:before="0" w:after="0"/>
              <w:jc w:val="center"/>
              <w:rPr>
                <w:rFonts w:ascii="Calibri" w:eastAsia="Times New Roman" w:hAnsi="Calibri" w:cs="Calibri"/>
                <w:b/>
                <w:bCs/>
                <w:color w:val="000000"/>
                <w:lang w:eastAsia="pt-BR"/>
              </w:rPr>
            </w:pPr>
            <w:r w:rsidRPr="006E18B8">
              <w:rPr>
                <w:rFonts w:ascii="Calibri" w:eastAsia="Times New Roman" w:hAnsi="Calibri" w:cs="Calibri"/>
                <w:b/>
                <w:bCs/>
                <w:color w:val="000000"/>
                <w:lang w:eastAsia="pt-BR"/>
              </w:rPr>
              <w:t>Ano 1</w:t>
            </w:r>
            <w:r w:rsidRPr="006E18B8">
              <w:rPr>
                <w:rFonts w:ascii="Calibri" w:eastAsia="Times New Roman" w:hAnsi="Calibri" w:cs="Calibri"/>
                <w:b/>
                <w:bCs/>
                <w:color w:val="000000"/>
                <w:lang w:eastAsia="pt-BR"/>
              </w:rPr>
              <w:br/>
              <w:t>(out/18 a set/19)</w:t>
            </w:r>
          </w:p>
        </w:tc>
        <w:tc>
          <w:tcPr>
            <w:tcW w:w="2241" w:type="pct"/>
            <w:gridSpan w:val="4"/>
            <w:tcBorders>
              <w:top w:val="single" w:sz="4" w:space="0" w:color="auto"/>
              <w:bottom w:val="single" w:sz="4" w:space="0" w:color="auto"/>
            </w:tcBorders>
            <w:shd w:val="clear" w:color="auto" w:fill="auto"/>
            <w:vAlign w:val="center"/>
            <w:hideMark/>
          </w:tcPr>
          <w:p w14:paraId="1EE90169" w14:textId="77777777" w:rsidR="006E18B8" w:rsidRPr="006E18B8" w:rsidRDefault="006E18B8" w:rsidP="006E18B8">
            <w:pPr>
              <w:spacing w:before="0" w:after="0"/>
              <w:jc w:val="center"/>
              <w:rPr>
                <w:rFonts w:ascii="Calibri" w:eastAsia="Times New Roman" w:hAnsi="Calibri" w:cs="Calibri"/>
                <w:b/>
                <w:bCs/>
                <w:color w:val="000000"/>
                <w:lang w:eastAsia="pt-BR"/>
              </w:rPr>
            </w:pPr>
            <w:r w:rsidRPr="006E18B8">
              <w:rPr>
                <w:rFonts w:ascii="Calibri" w:eastAsia="Times New Roman" w:hAnsi="Calibri" w:cs="Calibri"/>
                <w:b/>
                <w:bCs/>
                <w:color w:val="000000"/>
                <w:lang w:eastAsia="pt-BR"/>
              </w:rPr>
              <w:t>Transição</w:t>
            </w:r>
            <w:r w:rsidRPr="006E18B8">
              <w:rPr>
                <w:rFonts w:ascii="Calibri" w:eastAsia="Times New Roman" w:hAnsi="Calibri" w:cs="Calibri"/>
                <w:b/>
                <w:bCs/>
                <w:color w:val="000000"/>
                <w:lang w:eastAsia="pt-BR"/>
              </w:rPr>
              <w:br/>
              <w:t>(</w:t>
            </w:r>
            <w:proofErr w:type="spellStart"/>
            <w:r w:rsidRPr="006E18B8">
              <w:rPr>
                <w:rFonts w:ascii="Calibri" w:eastAsia="Times New Roman" w:hAnsi="Calibri" w:cs="Calibri"/>
                <w:b/>
                <w:bCs/>
                <w:color w:val="000000"/>
                <w:lang w:eastAsia="pt-BR"/>
              </w:rPr>
              <w:t>nov</w:t>
            </w:r>
            <w:proofErr w:type="spellEnd"/>
            <w:r w:rsidRPr="006E18B8">
              <w:rPr>
                <w:rFonts w:ascii="Calibri" w:eastAsia="Times New Roman" w:hAnsi="Calibri" w:cs="Calibri"/>
                <w:b/>
                <w:bCs/>
                <w:color w:val="000000"/>
                <w:lang w:eastAsia="pt-BR"/>
              </w:rPr>
              <w:t xml:space="preserve">/19 a </w:t>
            </w:r>
            <w:proofErr w:type="spellStart"/>
            <w:r w:rsidRPr="006E18B8">
              <w:rPr>
                <w:rFonts w:ascii="Calibri" w:eastAsia="Times New Roman" w:hAnsi="Calibri" w:cs="Calibri"/>
                <w:b/>
                <w:bCs/>
                <w:color w:val="000000"/>
                <w:lang w:eastAsia="pt-BR"/>
              </w:rPr>
              <w:t>fev</w:t>
            </w:r>
            <w:proofErr w:type="spellEnd"/>
            <w:r w:rsidRPr="006E18B8">
              <w:rPr>
                <w:rFonts w:ascii="Calibri" w:eastAsia="Times New Roman" w:hAnsi="Calibri" w:cs="Calibri"/>
                <w:b/>
                <w:bCs/>
                <w:color w:val="000000"/>
                <w:lang w:eastAsia="pt-BR"/>
              </w:rPr>
              <w:t>/20)</w:t>
            </w:r>
          </w:p>
        </w:tc>
      </w:tr>
      <w:tr w:rsidR="006E18B8" w:rsidRPr="006E18B8" w14:paraId="57CB41EC" w14:textId="77777777" w:rsidTr="006E18B8">
        <w:trPr>
          <w:trHeight w:val="300"/>
          <w:tblHeader/>
          <w:jc w:val="center"/>
        </w:trPr>
        <w:tc>
          <w:tcPr>
            <w:tcW w:w="593" w:type="pct"/>
            <w:vMerge/>
            <w:tcBorders>
              <w:top w:val="single" w:sz="4" w:space="0" w:color="auto"/>
              <w:bottom w:val="single" w:sz="4" w:space="0" w:color="auto"/>
            </w:tcBorders>
            <w:vAlign w:val="center"/>
            <w:hideMark/>
          </w:tcPr>
          <w:p w14:paraId="38F7A689" w14:textId="77777777" w:rsidR="006E18B8" w:rsidRPr="006E18B8" w:rsidRDefault="006E18B8" w:rsidP="006E18B8">
            <w:pPr>
              <w:spacing w:before="0" w:after="0"/>
              <w:rPr>
                <w:rFonts w:ascii="Calibri" w:eastAsia="Times New Roman" w:hAnsi="Calibri" w:cs="Calibri"/>
                <w:b/>
                <w:bCs/>
                <w:color w:val="000000"/>
                <w:lang w:eastAsia="pt-BR"/>
              </w:rPr>
            </w:pPr>
          </w:p>
        </w:tc>
        <w:tc>
          <w:tcPr>
            <w:tcW w:w="732" w:type="pct"/>
            <w:tcBorders>
              <w:top w:val="single" w:sz="4" w:space="0" w:color="auto"/>
              <w:bottom w:val="single" w:sz="4" w:space="0" w:color="auto"/>
            </w:tcBorders>
            <w:shd w:val="clear" w:color="auto" w:fill="auto"/>
            <w:noWrap/>
            <w:vAlign w:val="center"/>
            <w:hideMark/>
          </w:tcPr>
          <w:p w14:paraId="0FBCA220" w14:textId="77777777" w:rsidR="006E18B8" w:rsidRPr="006E18B8" w:rsidRDefault="006E18B8" w:rsidP="006E18B8">
            <w:pPr>
              <w:spacing w:before="0" w:after="0"/>
              <w:jc w:val="center"/>
              <w:rPr>
                <w:rFonts w:ascii="Calibri" w:eastAsia="Times New Roman" w:hAnsi="Calibri" w:cs="Calibri"/>
                <w:b/>
                <w:bCs/>
                <w:color w:val="000000"/>
                <w:lang w:eastAsia="pt-BR"/>
              </w:rPr>
            </w:pPr>
            <w:r w:rsidRPr="006E18B8">
              <w:rPr>
                <w:rFonts w:ascii="Calibri" w:eastAsia="Times New Roman" w:hAnsi="Calibri" w:cs="Calibri"/>
                <w:b/>
                <w:bCs/>
                <w:color w:val="000000"/>
                <w:lang w:eastAsia="pt-BR"/>
              </w:rPr>
              <w:t>Rio Guandu</w:t>
            </w:r>
          </w:p>
        </w:tc>
        <w:tc>
          <w:tcPr>
            <w:tcW w:w="559" w:type="pct"/>
            <w:tcBorders>
              <w:top w:val="single" w:sz="4" w:space="0" w:color="auto"/>
              <w:bottom w:val="single" w:sz="4" w:space="0" w:color="auto"/>
            </w:tcBorders>
            <w:shd w:val="clear" w:color="auto" w:fill="auto"/>
            <w:noWrap/>
            <w:vAlign w:val="center"/>
            <w:hideMark/>
          </w:tcPr>
          <w:p w14:paraId="52A45C9F" w14:textId="77777777" w:rsidR="006E18B8" w:rsidRPr="006E18B8" w:rsidRDefault="006E18B8" w:rsidP="006E18B8">
            <w:pPr>
              <w:spacing w:before="0" w:after="0"/>
              <w:jc w:val="center"/>
              <w:rPr>
                <w:rFonts w:ascii="Calibri" w:eastAsia="Times New Roman" w:hAnsi="Calibri" w:cs="Calibri"/>
                <w:b/>
                <w:bCs/>
                <w:color w:val="000000"/>
                <w:lang w:eastAsia="pt-BR"/>
              </w:rPr>
            </w:pPr>
            <w:r w:rsidRPr="006E18B8">
              <w:rPr>
                <w:rFonts w:ascii="Calibri" w:eastAsia="Times New Roman" w:hAnsi="Calibri" w:cs="Calibri"/>
                <w:b/>
                <w:bCs/>
                <w:color w:val="000000"/>
                <w:lang w:eastAsia="pt-BR"/>
              </w:rPr>
              <w:t>Rio Doce</w:t>
            </w:r>
          </w:p>
        </w:tc>
        <w:tc>
          <w:tcPr>
            <w:tcW w:w="439" w:type="pct"/>
            <w:tcBorders>
              <w:top w:val="single" w:sz="4" w:space="0" w:color="auto"/>
              <w:bottom w:val="single" w:sz="4" w:space="0" w:color="auto"/>
            </w:tcBorders>
            <w:shd w:val="clear" w:color="auto" w:fill="auto"/>
            <w:noWrap/>
            <w:vAlign w:val="center"/>
            <w:hideMark/>
          </w:tcPr>
          <w:p w14:paraId="0682260B" w14:textId="77777777" w:rsidR="006E18B8" w:rsidRPr="006E18B8" w:rsidRDefault="006E18B8" w:rsidP="006E18B8">
            <w:pPr>
              <w:spacing w:before="0" w:after="0"/>
              <w:jc w:val="center"/>
              <w:rPr>
                <w:rFonts w:ascii="Calibri" w:eastAsia="Times New Roman" w:hAnsi="Calibri" w:cs="Calibri"/>
                <w:b/>
                <w:bCs/>
                <w:color w:val="000000"/>
                <w:lang w:eastAsia="pt-BR"/>
              </w:rPr>
            </w:pPr>
            <w:r w:rsidRPr="006E18B8">
              <w:rPr>
                <w:rFonts w:ascii="Calibri" w:eastAsia="Times New Roman" w:hAnsi="Calibri" w:cs="Calibri"/>
                <w:b/>
                <w:bCs/>
                <w:color w:val="000000"/>
                <w:lang w:eastAsia="pt-BR"/>
              </w:rPr>
              <w:t>Lagos</w:t>
            </w:r>
          </w:p>
        </w:tc>
        <w:tc>
          <w:tcPr>
            <w:tcW w:w="436" w:type="pct"/>
            <w:tcBorders>
              <w:top w:val="single" w:sz="4" w:space="0" w:color="auto"/>
              <w:bottom w:val="single" w:sz="4" w:space="0" w:color="auto"/>
            </w:tcBorders>
            <w:shd w:val="clear" w:color="auto" w:fill="auto"/>
            <w:noWrap/>
            <w:vAlign w:val="center"/>
            <w:hideMark/>
          </w:tcPr>
          <w:p w14:paraId="49FA2526" w14:textId="77777777" w:rsidR="006E18B8" w:rsidRPr="006E18B8" w:rsidRDefault="006E18B8" w:rsidP="006E18B8">
            <w:pPr>
              <w:spacing w:before="0" w:after="0"/>
              <w:jc w:val="center"/>
              <w:rPr>
                <w:rFonts w:ascii="Calibri" w:eastAsia="Times New Roman" w:hAnsi="Calibri" w:cs="Calibri"/>
                <w:b/>
                <w:bCs/>
                <w:color w:val="000000"/>
                <w:lang w:eastAsia="pt-BR"/>
              </w:rPr>
            </w:pPr>
            <w:r w:rsidRPr="006E18B8">
              <w:rPr>
                <w:rFonts w:ascii="Calibri" w:eastAsia="Times New Roman" w:hAnsi="Calibri" w:cs="Calibri"/>
                <w:b/>
                <w:bCs/>
                <w:color w:val="000000"/>
                <w:lang w:eastAsia="pt-BR"/>
              </w:rPr>
              <w:t>Lagoas</w:t>
            </w:r>
          </w:p>
        </w:tc>
        <w:tc>
          <w:tcPr>
            <w:tcW w:w="783" w:type="pct"/>
            <w:tcBorders>
              <w:top w:val="single" w:sz="4" w:space="0" w:color="auto"/>
              <w:bottom w:val="single" w:sz="4" w:space="0" w:color="auto"/>
            </w:tcBorders>
            <w:shd w:val="clear" w:color="auto" w:fill="auto"/>
            <w:noWrap/>
            <w:vAlign w:val="center"/>
            <w:hideMark/>
          </w:tcPr>
          <w:p w14:paraId="1C7002A4" w14:textId="77777777" w:rsidR="006E18B8" w:rsidRPr="006E18B8" w:rsidRDefault="006E18B8" w:rsidP="006E18B8">
            <w:pPr>
              <w:spacing w:before="0" w:after="0"/>
              <w:jc w:val="center"/>
              <w:rPr>
                <w:rFonts w:ascii="Calibri" w:eastAsia="Times New Roman" w:hAnsi="Calibri" w:cs="Calibri"/>
                <w:b/>
                <w:bCs/>
                <w:color w:val="000000"/>
                <w:lang w:eastAsia="pt-BR"/>
              </w:rPr>
            </w:pPr>
            <w:r w:rsidRPr="006E18B8">
              <w:rPr>
                <w:rFonts w:ascii="Calibri" w:eastAsia="Times New Roman" w:hAnsi="Calibri" w:cs="Calibri"/>
                <w:b/>
                <w:bCs/>
                <w:color w:val="000000"/>
                <w:lang w:eastAsia="pt-BR"/>
              </w:rPr>
              <w:t>Rio Guandu</w:t>
            </w:r>
          </w:p>
        </w:tc>
        <w:tc>
          <w:tcPr>
            <w:tcW w:w="599" w:type="pct"/>
            <w:tcBorders>
              <w:top w:val="single" w:sz="4" w:space="0" w:color="auto"/>
              <w:bottom w:val="single" w:sz="4" w:space="0" w:color="auto"/>
            </w:tcBorders>
            <w:shd w:val="clear" w:color="auto" w:fill="auto"/>
            <w:noWrap/>
            <w:vAlign w:val="center"/>
            <w:hideMark/>
          </w:tcPr>
          <w:p w14:paraId="10220D45" w14:textId="77777777" w:rsidR="006E18B8" w:rsidRPr="006E18B8" w:rsidRDefault="006E18B8" w:rsidP="006E18B8">
            <w:pPr>
              <w:spacing w:before="0" w:after="0"/>
              <w:jc w:val="center"/>
              <w:rPr>
                <w:rFonts w:ascii="Calibri" w:eastAsia="Times New Roman" w:hAnsi="Calibri" w:cs="Calibri"/>
                <w:b/>
                <w:bCs/>
                <w:color w:val="000000"/>
                <w:lang w:eastAsia="pt-BR"/>
              </w:rPr>
            </w:pPr>
            <w:r w:rsidRPr="006E18B8">
              <w:rPr>
                <w:rFonts w:ascii="Calibri" w:eastAsia="Times New Roman" w:hAnsi="Calibri" w:cs="Calibri"/>
                <w:b/>
                <w:bCs/>
                <w:color w:val="000000"/>
                <w:lang w:eastAsia="pt-BR"/>
              </w:rPr>
              <w:t>Rio Doce</w:t>
            </w:r>
          </w:p>
        </w:tc>
        <w:tc>
          <w:tcPr>
            <w:tcW w:w="390" w:type="pct"/>
            <w:tcBorders>
              <w:top w:val="single" w:sz="4" w:space="0" w:color="auto"/>
              <w:bottom w:val="single" w:sz="4" w:space="0" w:color="auto"/>
            </w:tcBorders>
            <w:shd w:val="clear" w:color="auto" w:fill="auto"/>
            <w:noWrap/>
            <w:vAlign w:val="center"/>
            <w:hideMark/>
          </w:tcPr>
          <w:p w14:paraId="0563D2AE" w14:textId="77777777" w:rsidR="006E18B8" w:rsidRPr="006E18B8" w:rsidRDefault="006E18B8" w:rsidP="006E18B8">
            <w:pPr>
              <w:spacing w:before="0" w:after="0"/>
              <w:jc w:val="center"/>
              <w:rPr>
                <w:rFonts w:ascii="Calibri" w:eastAsia="Times New Roman" w:hAnsi="Calibri" w:cs="Calibri"/>
                <w:b/>
                <w:bCs/>
                <w:color w:val="000000"/>
                <w:lang w:eastAsia="pt-BR"/>
              </w:rPr>
            </w:pPr>
            <w:r w:rsidRPr="006E18B8">
              <w:rPr>
                <w:rFonts w:ascii="Calibri" w:eastAsia="Times New Roman" w:hAnsi="Calibri" w:cs="Calibri"/>
                <w:b/>
                <w:bCs/>
                <w:color w:val="000000"/>
                <w:lang w:eastAsia="pt-BR"/>
              </w:rPr>
              <w:t>Lagos</w:t>
            </w:r>
          </w:p>
        </w:tc>
        <w:tc>
          <w:tcPr>
            <w:tcW w:w="469" w:type="pct"/>
            <w:tcBorders>
              <w:top w:val="single" w:sz="4" w:space="0" w:color="auto"/>
              <w:bottom w:val="single" w:sz="4" w:space="0" w:color="auto"/>
            </w:tcBorders>
            <w:shd w:val="clear" w:color="auto" w:fill="auto"/>
            <w:noWrap/>
            <w:vAlign w:val="center"/>
            <w:hideMark/>
          </w:tcPr>
          <w:p w14:paraId="6196230B" w14:textId="77777777" w:rsidR="006E18B8" w:rsidRPr="006E18B8" w:rsidRDefault="006E18B8" w:rsidP="006E18B8">
            <w:pPr>
              <w:spacing w:before="0" w:after="0"/>
              <w:jc w:val="center"/>
              <w:rPr>
                <w:rFonts w:ascii="Calibri" w:eastAsia="Times New Roman" w:hAnsi="Calibri" w:cs="Calibri"/>
                <w:b/>
                <w:bCs/>
                <w:color w:val="000000"/>
                <w:lang w:eastAsia="pt-BR"/>
              </w:rPr>
            </w:pPr>
            <w:r w:rsidRPr="006E18B8">
              <w:rPr>
                <w:rFonts w:ascii="Calibri" w:eastAsia="Times New Roman" w:hAnsi="Calibri" w:cs="Calibri"/>
                <w:b/>
                <w:bCs/>
                <w:color w:val="000000"/>
                <w:lang w:eastAsia="pt-BR"/>
              </w:rPr>
              <w:t>Lagoas</w:t>
            </w:r>
          </w:p>
        </w:tc>
      </w:tr>
      <w:tr w:rsidR="006E18B8" w:rsidRPr="00545D7B" w14:paraId="3F2FA26D" w14:textId="77777777" w:rsidTr="001F1D5E">
        <w:trPr>
          <w:trHeight w:val="300"/>
          <w:jc w:val="center"/>
        </w:trPr>
        <w:tc>
          <w:tcPr>
            <w:tcW w:w="593" w:type="pct"/>
            <w:tcBorders>
              <w:top w:val="single" w:sz="4" w:space="0" w:color="auto"/>
            </w:tcBorders>
            <w:shd w:val="clear" w:color="auto" w:fill="auto"/>
            <w:noWrap/>
            <w:vAlign w:val="center"/>
            <w:hideMark/>
          </w:tcPr>
          <w:p w14:paraId="2BACEE46"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Al</w:t>
            </w:r>
          </w:p>
        </w:tc>
        <w:tc>
          <w:tcPr>
            <w:tcW w:w="732" w:type="pct"/>
            <w:tcBorders>
              <w:top w:val="single" w:sz="4" w:space="0" w:color="auto"/>
            </w:tcBorders>
            <w:shd w:val="clear" w:color="auto" w:fill="auto"/>
            <w:noWrap/>
            <w:vAlign w:val="center"/>
            <w:hideMark/>
          </w:tcPr>
          <w:p w14:paraId="243DD0B8"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425,1</w:t>
            </w:r>
          </w:p>
        </w:tc>
        <w:tc>
          <w:tcPr>
            <w:tcW w:w="559" w:type="pct"/>
            <w:tcBorders>
              <w:top w:val="single" w:sz="4" w:space="0" w:color="auto"/>
            </w:tcBorders>
            <w:shd w:val="clear" w:color="auto" w:fill="auto"/>
            <w:noWrap/>
            <w:vAlign w:val="center"/>
            <w:hideMark/>
          </w:tcPr>
          <w:p w14:paraId="727CDBC9"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375,4</w:t>
            </w:r>
          </w:p>
        </w:tc>
        <w:tc>
          <w:tcPr>
            <w:tcW w:w="439" w:type="pct"/>
            <w:tcBorders>
              <w:top w:val="single" w:sz="4" w:space="0" w:color="auto"/>
            </w:tcBorders>
            <w:shd w:val="clear" w:color="auto" w:fill="auto"/>
            <w:noWrap/>
            <w:vAlign w:val="center"/>
            <w:hideMark/>
          </w:tcPr>
          <w:p w14:paraId="3B08B005"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249,4</w:t>
            </w:r>
          </w:p>
        </w:tc>
        <w:tc>
          <w:tcPr>
            <w:tcW w:w="436" w:type="pct"/>
            <w:tcBorders>
              <w:top w:val="single" w:sz="4" w:space="0" w:color="auto"/>
            </w:tcBorders>
            <w:shd w:val="clear" w:color="auto" w:fill="auto"/>
            <w:noWrap/>
            <w:vAlign w:val="center"/>
            <w:hideMark/>
          </w:tcPr>
          <w:p w14:paraId="57558F59"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357</w:t>
            </w:r>
          </w:p>
        </w:tc>
        <w:tc>
          <w:tcPr>
            <w:tcW w:w="783" w:type="pct"/>
            <w:tcBorders>
              <w:top w:val="single" w:sz="4" w:space="0" w:color="auto"/>
            </w:tcBorders>
            <w:shd w:val="clear" w:color="auto" w:fill="auto"/>
            <w:noWrap/>
            <w:vAlign w:val="center"/>
            <w:hideMark/>
          </w:tcPr>
          <w:p w14:paraId="086939E1"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w:t>
            </w:r>
          </w:p>
        </w:tc>
        <w:tc>
          <w:tcPr>
            <w:tcW w:w="599" w:type="pct"/>
            <w:tcBorders>
              <w:top w:val="single" w:sz="4" w:space="0" w:color="auto"/>
            </w:tcBorders>
            <w:shd w:val="clear" w:color="auto" w:fill="auto"/>
            <w:noWrap/>
            <w:vAlign w:val="center"/>
            <w:hideMark/>
          </w:tcPr>
          <w:p w14:paraId="47DE1978"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w:t>
            </w:r>
          </w:p>
        </w:tc>
        <w:tc>
          <w:tcPr>
            <w:tcW w:w="390" w:type="pct"/>
            <w:tcBorders>
              <w:top w:val="single" w:sz="4" w:space="0" w:color="auto"/>
            </w:tcBorders>
            <w:shd w:val="clear" w:color="auto" w:fill="auto"/>
            <w:noWrap/>
            <w:vAlign w:val="center"/>
            <w:hideMark/>
          </w:tcPr>
          <w:p w14:paraId="2E83FB4B"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w:t>
            </w:r>
          </w:p>
        </w:tc>
        <w:tc>
          <w:tcPr>
            <w:tcW w:w="469" w:type="pct"/>
            <w:tcBorders>
              <w:top w:val="single" w:sz="4" w:space="0" w:color="auto"/>
            </w:tcBorders>
            <w:shd w:val="clear" w:color="auto" w:fill="auto"/>
            <w:noWrap/>
            <w:vAlign w:val="center"/>
            <w:hideMark/>
          </w:tcPr>
          <w:p w14:paraId="184C38E7"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w:t>
            </w:r>
          </w:p>
        </w:tc>
      </w:tr>
      <w:tr w:rsidR="006E18B8" w:rsidRPr="00545D7B" w14:paraId="51C651C0" w14:textId="77777777" w:rsidTr="001F1D5E">
        <w:trPr>
          <w:trHeight w:val="300"/>
          <w:jc w:val="center"/>
        </w:trPr>
        <w:tc>
          <w:tcPr>
            <w:tcW w:w="593" w:type="pct"/>
            <w:shd w:val="clear" w:color="auto" w:fill="auto"/>
            <w:noWrap/>
            <w:vAlign w:val="center"/>
            <w:hideMark/>
          </w:tcPr>
          <w:p w14:paraId="21770565"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As</w:t>
            </w:r>
          </w:p>
        </w:tc>
        <w:tc>
          <w:tcPr>
            <w:tcW w:w="732" w:type="pct"/>
            <w:shd w:val="clear" w:color="auto" w:fill="auto"/>
            <w:noWrap/>
            <w:vAlign w:val="center"/>
            <w:hideMark/>
          </w:tcPr>
          <w:p w14:paraId="6E16A657"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&lt;0,9</w:t>
            </w:r>
          </w:p>
        </w:tc>
        <w:tc>
          <w:tcPr>
            <w:tcW w:w="559" w:type="pct"/>
            <w:shd w:val="clear" w:color="auto" w:fill="auto"/>
            <w:noWrap/>
            <w:vAlign w:val="center"/>
            <w:hideMark/>
          </w:tcPr>
          <w:p w14:paraId="75F84FB6"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&lt;0,9</w:t>
            </w:r>
          </w:p>
        </w:tc>
        <w:tc>
          <w:tcPr>
            <w:tcW w:w="439" w:type="pct"/>
            <w:shd w:val="clear" w:color="auto" w:fill="auto"/>
            <w:noWrap/>
            <w:vAlign w:val="center"/>
            <w:hideMark/>
          </w:tcPr>
          <w:p w14:paraId="5216FFEA"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&lt;0,9</w:t>
            </w:r>
          </w:p>
        </w:tc>
        <w:tc>
          <w:tcPr>
            <w:tcW w:w="436" w:type="pct"/>
            <w:shd w:val="clear" w:color="auto" w:fill="auto"/>
            <w:noWrap/>
            <w:vAlign w:val="center"/>
            <w:hideMark/>
          </w:tcPr>
          <w:p w14:paraId="57648527"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1,2</w:t>
            </w:r>
          </w:p>
        </w:tc>
        <w:tc>
          <w:tcPr>
            <w:tcW w:w="783" w:type="pct"/>
            <w:shd w:val="clear" w:color="auto" w:fill="auto"/>
            <w:noWrap/>
            <w:vAlign w:val="center"/>
            <w:hideMark/>
          </w:tcPr>
          <w:p w14:paraId="46551E81"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&lt;0,9</w:t>
            </w:r>
          </w:p>
        </w:tc>
        <w:tc>
          <w:tcPr>
            <w:tcW w:w="599" w:type="pct"/>
            <w:shd w:val="clear" w:color="auto" w:fill="auto"/>
            <w:noWrap/>
            <w:vAlign w:val="center"/>
            <w:hideMark/>
          </w:tcPr>
          <w:p w14:paraId="4A8025EF"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1,6</w:t>
            </w:r>
          </w:p>
        </w:tc>
        <w:tc>
          <w:tcPr>
            <w:tcW w:w="390" w:type="pct"/>
            <w:shd w:val="clear" w:color="auto" w:fill="auto"/>
            <w:noWrap/>
            <w:vAlign w:val="center"/>
            <w:hideMark/>
          </w:tcPr>
          <w:p w14:paraId="313C3152"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&lt;0,9</w:t>
            </w:r>
          </w:p>
        </w:tc>
        <w:tc>
          <w:tcPr>
            <w:tcW w:w="469" w:type="pct"/>
            <w:shd w:val="clear" w:color="auto" w:fill="auto"/>
            <w:noWrap/>
            <w:vAlign w:val="center"/>
            <w:hideMark/>
          </w:tcPr>
          <w:p w14:paraId="6D3CD50D"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1,4</w:t>
            </w:r>
          </w:p>
        </w:tc>
      </w:tr>
      <w:tr w:rsidR="006E18B8" w:rsidRPr="00545D7B" w14:paraId="3F4431D1" w14:textId="77777777" w:rsidTr="001F1D5E">
        <w:trPr>
          <w:trHeight w:val="300"/>
          <w:jc w:val="center"/>
        </w:trPr>
        <w:tc>
          <w:tcPr>
            <w:tcW w:w="593" w:type="pct"/>
            <w:shd w:val="clear" w:color="auto" w:fill="auto"/>
            <w:noWrap/>
            <w:vAlign w:val="center"/>
            <w:hideMark/>
          </w:tcPr>
          <w:p w14:paraId="403B20AC"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Ba</w:t>
            </w:r>
          </w:p>
        </w:tc>
        <w:tc>
          <w:tcPr>
            <w:tcW w:w="732" w:type="pct"/>
            <w:shd w:val="clear" w:color="auto" w:fill="auto"/>
            <w:noWrap/>
            <w:vAlign w:val="center"/>
            <w:hideMark/>
          </w:tcPr>
          <w:p w14:paraId="37612BDE"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52,3</w:t>
            </w:r>
          </w:p>
        </w:tc>
        <w:tc>
          <w:tcPr>
            <w:tcW w:w="559" w:type="pct"/>
            <w:shd w:val="clear" w:color="auto" w:fill="auto"/>
            <w:noWrap/>
            <w:vAlign w:val="center"/>
            <w:hideMark/>
          </w:tcPr>
          <w:p w14:paraId="25DCC522"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38,2</w:t>
            </w:r>
          </w:p>
        </w:tc>
        <w:tc>
          <w:tcPr>
            <w:tcW w:w="439" w:type="pct"/>
            <w:shd w:val="clear" w:color="auto" w:fill="auto"/>
            <w:noWrap/>
            <w:vAlign w:val="center"/>
            <w:hideMark/>
          </w:tcPr>
          <w:p w14:paraId="218368E5"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51,8</w:t>
            </w:r>
          </w:p>
        </w:tc>
        <w:tc>
          <w:tcPr>
            <w:tcW w:w="436" w:type="pct"/>
            <w:shd w:val="clear" w:color="auto" w:fill="auto"/>
            <w:noWrap/>
            <w:vAlign w:val="center"/>
            <w:hideMark/>
          </w:tcPr>
          <w:p w14:paraId="495BCDDE"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49,7</w:t>
            </w:r>
          </w:p>
        </w:tc>
        <w:tc>
          <w:tcPr>
            <w:tcW w:w="783" w:type="pct"/>
            <w:shd w:val="clear" w:color="auto" w:fill="auto"/>
            <w:noWrap/>
            <w:vAlign w:val="center"/>
            <w:hideMark/>
          </w:tcPr>
          <w:p w14:paraId="61F58BB9"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62,2</w:t>
            </w:r>
          </w:p>
        </w:tc>
        <w:tc>
          <w:tcPr>
            <w:tcW w:w="599" w:type="pct"/>
            <w:shd w:val="clear" w:color="auto" w:fill="auto"/>
            <w:noWrap/>
            <w:vAlign w:val="center"/>
            <w:hideMark/>
          </w:tcPr>
          <w:p w14:paraId="23FE1C63"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58,9</w:t>
            </w:r>
          </w:p>
        </w:tc>
        <w:tc>
          <w:tcPr>
            <w:tcW w:w="390" w:type="pct"/>
            <w:shd w:val="clear" w:color="auto" w:fill="auto"/>
            <w:noWrap/>
            <w:vAlign w:val="center"/>
            <w:hideMark/>
          </w:tcPr>
          <w:p w14:paraId="6693D62F"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45,5</w:t>
            </w:r>
          </w:p>
        </w:tc>
        <w:tc>
          <w:tcPr>
            <w:tcW w:w="469" w:type="pct"/>
            <w:shd w:val="clear" w:color="auto" w:fill="auto"/>
            <w:noWrap/>
            <w:vAlign w:val="center"/>
            <w:hideMark/>
          </w:tcPr>
          <w:p w14:paraId="508CA935"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57,5</w:t>
            </w:r>
          </w:p>
        </w:tc>
      </w:tr>
      <w:tr w:rsidR="006E18B8" w:rsidRPr="00545D7B" w14:paraId="336535B7" w14:textId="77777777" w:rsidTr="001F1D5E">
        <w:trPr>
          <w:trHeight w:val="300"/>
          <w:jc w:val="center"/>
        </w:trPr>
        <w:tc>
          <w:tcPr>
            <w:tcW w:w="593" w:type="pct"/>
            <w:shd w:val="clear" w:color="auto" w:fill="auto"/>
            <w:noWrap/>
            <w:vAlign w:val="center"/>
            <w:hideMark/>
          </w:tcPr>
          <w:p w14:paraId="3637F76B"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Co</w:t>
            </w:r>
          </w:p>
        </w:tc>
        <w:tc>
          <w:tcPr>
            <w:tcW w:w="732" w:type="pct"/>
            <w:shd w:val="clear" w:color="auto" w:fill="auto"/>
            <w:noWrap/>
            <w:vAlign w:val="center"/>
            <w:hideMark/>
          </w:tcPr>
          <w:p w14:paraId="1C1B8B35"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5</w:t>
            </w:r>
          </w:p>
        </w:tc>
        <w:tc>
          <w:tcPr>
            <w:tcW w:w="559" w:type="pct"/>
            <w:shd w:val="clear" w:color="auto" w:fill="auto"/>
            <w:noWrap/>
            <w:vAlign w:val="center"/>
            <w:hideMark/>
          </w:tcPr>
          <w:p w14:paraId="67B820BB"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5,3</w:t>
            </w:r>
          </w:p>
        </w:tc>
        <w:tc>
          <w:tcPr>
            <w:tcW w:w="439" w:type="pct"/>
            <w:shd w:val="clear" w:color="auto" w:fill="auto"/>
            <w:noWrap/>
            <w:vAlign w:val="center"/>
            <w:hideMark/>
          </w:tcPr>
          <w:p w14:paraId="1DCC93C8"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2,4</w:t>
            </w:r>
          </w:p>
        </w:tc>
        <w:tc>
          <w:tcPr>
            <w:tcW w:w="436" w:type="pct"/>
            <w:shd w:val="clear" w:color="auto" w:fill="auto"/>
            <w:noWrap/>
            <w:vAlign w:val="center"/>
            <w:hideMark/>
          </w:tcPr>
          <w:p w14:paraId="4C4E1E12"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4</w:t>
            </w:r>
          </w:p>
        </w:tc>
        <w:tc>
          <w:tcPr>
            <w:tcW w:w="783" w:type="pct"/>
            <w:shd w:val="clear" w:color="auto" w:fill="auto"/>
            <w:noWrap/>
            <w:vAlign w:val="center"/>
            <w:hideMark/>
          </w:tcPr>
          <w:p w14:paraId="6BE47E24"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&lt;0,9</w:t>
            </w:r>
          </w:p>
        </w:tc>
        <w:tc>
          <w:tcPr>
            <w:tcW w:w="599" w:type="pct"/>
            <w:shd w:val="clear" w:color="auto" w:fill="auto"/>
            <w:noWrap/>
            <w:vAlign w:val="center"/>
            <w:hideMark/>
          </w:tcPr>
          <w:p w14:paraId="37C8109B"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2,9</w:t>
            </w:r>
          </w:p>
        </w:tc>
        <w:tc>
          <w:tcPr>
            <w:tcW w:w="390" w:type="pct"/>
            <w:shd w:val="clear" w:color="auto" w:fill="auto"/>
            <w:noWrap/>
            <w:vAlign w:val="center"/>
            <w:hideMark/>
          </w:tcPr>
          <w:p w14:paraId="1131E8F2"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3,4</w:t>
            </w:r>
          </w:p>
        </w:tc>
        <w:tc>
          <w:tcPr>
            <w:tcW w:w="469" w:type="pct"/>
            <w:shd w:val="clear" w:color="auto" w:fill="auto"/>
            <w:noWrap/>
            <w:vAlign w:val="center"/>
            <w:hideMark/>
          </w:tcPr>
          <w:p w14:paraId="42C24F33"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2</w:t>
            </w:r>
          </w:p>
        </w:tc>
      </w:tr>
      <w:tr w:rsidR="006E18B8" w:rsidRPr="00545D7B" w14:paraId="6272EEBF" w14:textId="77777777" w:rsidTr="001F1D5E">
        <w:trPr>
          <w:trHeight w:val="300"/>
          <w:jc w:val="center"/>
        </w:trPr>
        <w:tc>
          <w:tcPr>
            <w:tcW w:w="593" w:type="pct"/>
            <w:shd w:val="clear" w:color="auto" w:fill="auto"/>
            <w:noWrap/>
            <w:vAlign w:val="center"/>
            <w:hideMark/>
          </w:tcPr>
          <w:p w14:paraId="4CCA6D52"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Cr</w:t>
            </w:r>
          </w:p>
        </w:tc>
        <w:tc>
          <w:tcPr>
            <w:tcW w:w="732" w:type="pct"/>
            <w:shd w:val="clear" w:color="auto" w:fill="auto"/>
            <w:noWrap/>
            <w:vAlign w:val="center"/>
            <w:hideMark/>
          </w:tcPr>
          <w:p w14:paraId="0CD0B357"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4,6</w:t>
            </w:r>
          </w:p>
        </w:tc>
        <w:tc>
          <w:tcPr>
            <w:tcW w:w="559" w:type="pct"/>
            <w:shd w:val="clear" w:color="auto" w:fill="auto"/>
            <w:noWrap/>
            <w:vAlign w:val="center"/>
            <w:hideMark/>
          </w:tcPr>
          <w:p w14:paraId="3D7CCE32"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w:t>
            </w:r>
          </w:p>
        </w:tc>
        <w:tc>
          <w:tcPr>
            <w:tcW w:w="439" w:type="pct"/>
            <w:shd w:val="clear" w:color="auto" w:fill="auto"/>
            <w:noWrap/>
            <w:vAlign w:val="center"/>
            <w:hideMark/>
          </w:tcPr>
          <w:p w14:paraId="77FF39D7"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1,7</w:t>
            </w:r>
          </w:p>
        </w:tc>
        <w:tc>
          <w:tcPr>
            <w:tcW w:w="436" w:type="pct"/>
            <w:shd w:val="clear" w:color="auto" w:fill="auto"/>
            <w:noWrap/>
            <w:vAlign w:val="center"/>
            <w:hideMark/>
          </w:tcPr>
          <w:p w14:paraId="155AD99B"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2,5</w:t>
            </w:r>
          </w:p>
        </w:tc>
        <w:tc>
          <w:tcPr>
            <w:tcW w:w="783" w:type="pct"/>
            <w:shd w:val="clear" w:color="auto" w:fill="auto"/>
            <w:noWrap/>
            <w:vAlign w:val="center"/>
            <w:hideMark/>
          </w:tcPr>
          <w:p w14:paraId="595AC362"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6,9</w:t>
            </w:r>
          </w:p>
        </w:tc>
        <w:tc>
          <w:tcPr>
            <w:tcW w:w="599" w:type="pct"/>
            <w:shd w:val="clear" w:color="auto" w:fill="auto"/>
            <w:noWrap/>
            <w:vAlign w:val="center"/>
            <w:hideMark/>
          </w:tcPr>
          <w:p w14:paraId="0A0669A9"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10,2</w:t>
            </w:r>
          </w:p>
        </w:tc>
        <w:tc>
          <w:tcPr>
            <w:tcW w:w="390" w:type="pct"/>
            <w:shd w:val="clear" w:color="auto" w:fill="auto"/>
            <w:noWrap/>
            <w:vAlign w:val="center"/>
            <w:hideMark/>
          </w:tcPr>
          <w:p w14:paraId="331030D1"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&lt;1,1</w:t>
            </w:r>
          </w:p>
        </w:tc>
        <w:tc>
          <w:tcPr>
            <w:tcW w:w="469" w:type="pct"/>
            <w:shd w:val="clear" w:color="auto" w:fill="auto"/>
            <w:noWrap/>
            <w:vAlign w:val="center"/>
            <w:hideMark/>
          </w:tcPr>
          <w:p w14:paraId="0F2D9327"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3,5</w:t>
            </w:r>
          </w:p>
        </w:tc>
      </w:tr>
      <w:tr w:rsidR="006E18B8" w:rsidRPr="00545D7B" w14:paraId="3A536844" w14:textId="77777777" w:rsidTr="001F1D5E">
        <w:trPr>
          <w:trHeight w:val="300"/>
          <w:jc w:val="center"/>
        </w:trPr>
        <w:tc>
          <w:tcPr>
            <w:tcW w:w="593" w:type="pct"/>
            <w:shd w:val="clear" w:color="auto" w:fill="auto"/>
            <w:noWrap/>
            <w:vAlign w:val="center"/>
            <w:hideMark/>
          </w:tcPr>
          <w:p w14:paraId="6E3DFC56"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Cu</w:t>
            </w:r>
          </w:p>
        </w:tc>
        <w:tc>
          <w:tcPr>
            <w:tcW w:w="732" w:type="pct"/>
            <w:shd w:val="clear" w:color="auto" w:fill="auto"/>
            <w:noWrap/>
            <w:vAlign w:val="center"/>
            <w:hideMark/>
          </w:tcPr>
          <w:p w14:paraId="5B065F1C"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6,5</w:t>
            </w:r>
          </w:p>
        </w:tc>
        <w:tc>
          <w:tcPr>
            <w:tcW w:w="559" w:type="pct"/>
            <w:shd w:val="clear" w:color="auto" w:fill="auto"/>
            <w:noWrap/>
            <w:vAlign w:val="center"/>
            <w:hideMark/>
          </w:tcPr>
          <w:p w14:paraId="1E7B965B"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12,5</w:t>
            </w:r>
          </w:p>
        </w:tc>
        <w:tc>
          <w:tcPr>
            <w:tcW w:w="439" w:type="pct"/>
            <w:shd w:val="clear" w:color="auto" w:fill="auto"/>
            <w:noWrap/>
            <w:vAlign w:val="center"/>
            <w:hideMark/>
          </w:tcPr>
          <w:p w14:paraId="0643EB17"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4,9</w:t>
            </w:r>
          </w:p>
        </w:tc>
        <w:tc>
          <w:tcPr>
            <w:tcW w:w="436" w:type="pct"/>
            <w:shd w:val="clear" w:color="auto" w:fill="auto"/>
            <w:noWrap/>
            <w:vAlign w:val="center"/>
            <w:hideMark/>
          </w:tcPr>
          <w:p w14:paraId="769E9683"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10,7</w:t>
            </w:r>
          </w:p>
        </w:tc>
        <w:tc>
          <w:tcPr>
            <w:tcW w:w="783" w:type="pct"/>
            <w:shd w:val="clear" w:color="auto" w:fill="auto"/>
            <w:noWrap/>
            <w:vAlign w:val="center"/>
            <w:hideMark/>
          </w:tcPr>
          <w:p w14:paraId="3D011288"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5,2</w:t>
            </w:r>
          </w:p>
        </w:tc>
        <w:tc>
          <w:tcPr>
            <w:tcW w:w="599" w:type="pct"/>
            <w:shd w:val="clear" w:color="auto" w:fill="auto"/>
            <w:noWrap/>
            <w:vAlign w:val="center"/>
            <w:hideMark/>
          </w:tcPr>
          <w:p w14:paraId="6D30B775"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5,2</w:t>
            </w:r>
          </w:p>
        </w:tc>
        <w:tc>
          <w:tcPr>
            <w:tcW w:w="390" w:type="pct"/>
            <w:shd w:val="clear" w:color="auto" w:fill="auto"/>
            <w:noWrap/>
            <w:vAlign w:val="center"/>
            <w:hideMark/>
          </w:tcPr>
          <w:p w14:paraId="00FAEB5C"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3,8</w:t>
            </w:r>
          </w:p>
        </w:tc>
        <w:tc>
          <w:tcPr>
            <w:tcW w:w="469" w:type="pct"/>
            <w:shd w:val="clear" w:color="auto" w:fill="auto"/>
            <w:noWrap/>
            <w:vAlign w:val="center"/>
            <w:hideMark/>
          </w:tcPr>
          <w:p w14:paraId="3523D29C"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3,1</w:t>
            </w:r>
          </w:p>
        </w:tc>
      </w:tr>
      <w:tr w:rsidR="006E18B8" w:rsidRPr="00545D7B" w14:paraId="74507820" w14:textId="77777777" w:rsidTr="001F1D5E">
        <w:trPr>
          <w:trHeight w:val="300"/>
          <w:jc w:val="center"/>
        </w:trPr>
        <w:tc>
          <w:tcPr>
            <w:tcW w:w="593" w:type="pct"/>
            <w:shd w:val="clear" w:color="auto" w:fill="auto"/>
            <w:noWrap/>
            <w:vAlign w:val="center"/>
            <w:hideMark/>
          </w:tcPr>
          <w:p w14:paraId="2CD3C385"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Fe</w:t>
            </w:r>
          </w:p>
        </w:tc>
        <w:tc>
          <w:tcPr>
            <w:tcW w:w="732" w:type="pct"/>
            <w:shd w:val="clear" w:color="auto" w:fill="auto"/>
            <w:noWrap/>
            <w:vAlign w:val="center"/>
            <w:hideMark/>
          </w:tcPr>
          <w:p w14:paraId="53009A22"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2666,9</w:t>
            </w:r>
          </w:p>
        </w:tc>
        <w:tc>
          <w:tcPr>
            <w:tcW w:w="559" w:type="pct"/>
            <w:shd w:val="clear" w:color="auto" w:fill="auto"/>
            <w:noWrap/>
            <w:vAlign w:val="center"/>
            <w:hideMark/>
          </w:tcPr>
          <w:p w14:paraId="5925FBDE"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1990,7</w:t>
            </w:r>
          </w:p>
        </w:tc>
        <w:tc>
          <w:tcPr>
            <w:tcW w:w="439" w:type="pct"/>
            <w:shd w:val="clear" w:color="auto" w:fill="auto"/>
            <w:noWrap/>
            <w:vAlign w:val="center"/>
            <w:hideMark/>
          </w:tcPr>
          <w:p w14:paraId="213C549C"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1045,8</w:t>
            </w:r>
          </w:p>
        </w:tc>
        <w:tc>
          <w:tcPr>
            <w:tcW w:w="436" w:type="pct"/>
            <w:shd w:val="clear" w:color="auto" w:fill="auto"/>
            <w:noWrap/>
            <w:vAlign w:val="center"/>
            <w:hideMark/>
          </w:tcPr>
          <w:p w14:paraId="228699CC"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2529</w:t>
            </w:r>
          </w:p>
        </w:tc>
        <w:tc>
          <w:tcPr>
            <w:tcW w:w="783" w:type="pct"/>
            <w:shd w:val="clear" w:color="auto" w:fill="auto"/>
            <w:noWrap/>
            <w:vAlign w:val="center"/>
            <w:hideMark/>
          </w:tcPr>
          <w:p w14:paraId="20C6F8A2"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3661,7</w:t>
            </w:r>
          </w:p>
        </w:tc>
        <w:tc>
          <w:tcPr>
            <w:tcW w:w="599" w:type="pct"/>
            <w:shd w:val="clear" w:color="auto" w:fill="auto"/>
            <w:noWrap/>
            <w:vAlign w:val="center"/>
            <w:hideMark/>
          </w:tcPr>
          <w:p w14:paraId="0C3D2A4F"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3320,9</w:t>
            </w:r>
          </w:p>
        </w:tc>
        <w:tc>
          <w:tcPr>
            <w:tcW w:w="390" w:type="pct"/>
            <w:shd w:val="clear" w:color="auto" w:fill="auto"/>
            <w:noWrap/>
            <w:vAlign w:val="center"/>
            <w:hideMark/>
          </w:tcPr>
          <w:p w14:paraId="218CC8CE"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846,9</w:t>
            </w:r>
          </w:p>
        </w:tc>
        <w:tc>
          <w:tcPr>
            <w:tcW w:w="469" w:type="pct"/>
            <w:shd w:val="clear" w:color="auto" w:fill="auto"/>
            <w:noWrap/>
            <w:vAlign w:val="center"/>
            <w:hideMark/>
          </w:tcPr>
          <w:p w14:paraId="310051D7"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2685,7</w:t>
            </w:r>
          </w:p>
        </w:tc>
      </w:tr>
      <w:tr w:rsidR="006E18B8" w:rsidRPr="00545D7B" w14:paraId="02AC9073" w14:textId="77777777" w:rsidTr="001F1D5E">
        <w:trPr>
          <w:trHeight w:val="300"/>
          <w:jc w:val="center"/>
        </w:trPr>
        <w:tc>
          <w:tcPr>
            <w:tcW w:w="593" w:type="pct"/>
            <w:shd w:val="clear" w:color="auto" w:fill="auto"/>
            <w:noWrap/>
            <w:vAlign w:val="center"/>
            <w:hideMark/>
          </w:tcPr>
          <w:p w14:paraId="4E1D475B"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Mn</w:t>
            </w:r>
          </w:p>
        </w:tc>
        <w:tc>
          <w:tcPr>
            <w:tcW w:w="732" w:type="pct"/>
            <w:shd w:val="clear" w:color="auto" w:fill="auto"/>
            <w:noWrap/>
            <w:vAlign w:val="center"/>
            <w:hideMark/>
          </w:tcPr>
          <w:p w14:paraId="54473EE8"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49,2</w:t>
            </w:r>
          </w:p>
        </w:tc>
        <w:tc>
          <w:tcPr>
            <w:tcW w:w="559" w:type="pct"/>
            <w:shd w:val="clear" w:color="auto" w:fill="auto"/>
            <w:noWrap/>
            <w:vAlign w:val="center"/>
            <w:hideMark/>
          </w:tcPr>
          <w:p w14:paraId="4C4523BF"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36,1</w:t>
            </w:r>
          </w:p>
        </w:tc>
        <w:tc>
          <w:tcPr>
            <w:tcW w:w="439" w:type="pct"/>
            <w:shd w:val="clear" w:color="auto" w:fill="auto"/>
            <w:noWrap/>
            <w:vAlign w:val="center"/>
            <w:hideMark/>
          </w:tcPr>
          <w:p w14:paraId="13792B95"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41,7</w:t>
            </w:r>
          </w:p>
        </w:tc>
        <w:tc>
          <w:tcPr>
            <w:tcW w:w="436" w:type="pct"/>
            <w:shd w:val="clear" w:color="auto" w:fill="auto"/>
            <w:noWrap/>
            <w:vAlign w:val="center"/>
            <w:hideMark/>
          </w:tcPr>
          <w:p w14:paraId="2A89BAC3"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163,9</w:t>
            </w:r>
          </w:p>
        </w:tc>
        <w:tc>
          <w:tcPr>
            <w:tcW w:w="783" w:type="pct"/>
            <w:shd w:val="clear" w:color="auto" w:fill="auto"/>
            <w:noWrap/>
            <w:vAlign w:val="center"/>
            <w:hideMark/>
          </w:tcPr>
          <w:p w14:paraId="00CE9732"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64,3</w:t>
            </w:r>
          </w:p>
        </w:tc>
        <w:tc>
          <w:tcPr>
            <w:tcW w:w="599" w:type="pct"/>
            <w:shd w:val="clear" w:color="auto" w:fill="auto"/>
            <w:noWrap/>
            <w:vAlign w:val="center"/>
            <w:hideMark/>
          </w:tcPr>
          <w:p w14:paraId="108B102A"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95,2</w:t>
            </w:r>
          </w:p>
        </w:tc>
        <w:tc>
          <w:tcPr>
            <w:tcW w:w="390" w:type="pct"/>
            <w:shd w:val="clear" w:color="auto" w:fill="auto"/>
            <w:noWrap/>
            <w:vAlign w:val="center"/>
            <w:hideMark/>
          </w:tcPr>
          <w:p w14:paraId="41F7DB2C"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31,5</w:t>
            </w:r>
          </w:p>
        </w:tc>
        <w:tc>
          <w:tcPr>
            <w:tcW w:w="469" w:type="pct"/>
            <w:shd w:val="clear" w:color="auto" w:fill="auto"/>
            <w:noWrap/>
            <w:vAlign w:val="center"/>
            <w:hideMark/>
          </w:tcPr>
          <w:p w14:paraId="5CA00A00"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114,4</w:t>
            </w:r>
          </w:p>
        </w:tc>
      </w:tr>
      <w:tr w:rsidR="006E18B8" w:rsidRPr="00545D7B" w14:paraId="078C271B" w14:textId="77777777" w:rsidTr="001F1D5E">
        <w:trPr>
          <w:trHeight w:val="300"/>
          <w:jc w:val="center"/>
        </w:trPr>
        <w:tc>
          <w:tcPr>
            <w:tcW w:w="593" w:type="pct"/>
            <w:shd w:val="clear" w:color="auto" w:fill="auto"/>
            <w:noWrap/>
            <w:vAlign w:val="center"/>
            <w:hideMark/>
          </w:tcPr>
          <w:p w14:paraId="312E3537"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Pb</w:t>
            </w:r>
          </w:p>
        </w:tc>
        <w:tc>
          <w:tcPr>
            <w:tcW w:w="732" w:type="pct"/>
            <w:shd w:val="clear" w:color="auto" w:fill="auto"/>
            <w:noWrap/>
            <w:vAlign w:val="center"/>
            <w:hideMark/>
          </w:tcPr>
          <w:p w14:paraId="54BC439E"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&lt;1,8</w:t>
            </w:r>
          </w:p>
        </w:tc>
        <w:tc>
          <w:tcPr>
            <w:tcW w:w="559" w:type="pct"/>
            <w:shd w:val="clear" w:color="auto" w:fill="auto"/>
            <w:noWrap/>
            <w:vAlign w:val="center"/>
            <w:hideMark/>
          </w:tcPr>
          <w:p w14:paraId="557ADD90"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&lt;1,8</w:t>
            </w:r>
          </w:p>
        </w:tc>
        <w:tc>
          <w:tcPr>
            <w:tcW w:w="439" w:type="pct"/>
            <w:shd w:val="clear" w:color="auto" w:fill="auto"/>
            <w:noWrap/>
            <w:vAlign w:val="center"/>
            <w:hideMark/>
          </w:tcPr>
          <w:p w14:paraId="6592BCFE"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&lt;1,8</w:t>
            </w:r>
          </w:p>
        </w:tc>
        <w:tc>
          <w:tcPr>
            <w:tcW w:w="436" w:type="pct"/>
            <w:shd w:val="clear" w:color="auto" w:fill="auto"/>
            <w:noWrap/>
            <w:vAlign w:val="center"/>
            <w:hideMark/>
          </w:tcPr>
          <w:p w14:paraId="49695AC1"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&lt;1,8</w:t>
            </w:r>
          </w:p>
        </w:tc>
        <w:tc>
          <w:tcPr>
            <w:tcW w:w="783" w:type="pct"/>
            <w:shd w:val="clear" w:color="auto" w:fill="auto"/>
            <w:noWrap/>
            <w:vAlign w:val="center"/>
            <w:hideMark/>
          </w:tcPr>
          <w:p w14:paraId="69CB68F7"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7,9</w:t>
            </w:r>
          </w:p>
        </w:tc>
        <w:tc>
          <w:tcPr>
            <w:tcW w:w="599" w:type="pct"/>
            <w:shd w:val="clear" w:color="auto" w:fill="auto"/>
            <w:noWrap/>
            <w:vAlign w:val="center"/>
            <w:hideMark/>
          </w:tcPr>
          <w:p w14:paraId="3B86B72E"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5,6</w:t>
            </w:r>
          </w:p>
        </w:tc>
        <w:tc>
          <w:tcPr>
            <w:tcW w:w="390" w:type="pct"/>
            <w:shd w:val="clear" w:color="auto" w:fill="auto"/>
            <w:noWrap/>
            <w:vAlign w:val="center"/>
            <w:hideMark/>
          </w:tcPr>
          <w:p w14:paraId="3A2E2552"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2,7</w:t>
            </w:r>
          </w:p>
        </w:tc>
        <w:tc>
          <w:tcPr>
            <w:tcW w:w="469" w:type="pct"/>
            <w:shd w:val="clear" w:color="auto" w:fill="auto"/>
            <w:noWrap/>
            <w:vAlign w:val="center"/>
            <w:hideMark/>
          </w:tcPr>
          <w:p w14:paraId="175A8AD1"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4,6</w:t>
            </w:r>
          </w:p>
        </w:tc>
      </w:tr>
      <w:tr w:rsidR="006E18B8" w:rsidRPr="00545D7B" w14:paraId="67E0D50E" w14:textId="77777777" w:rsidTr="001F1D5E">
        <w:trPr>
          <w:trHeight w:val="300"/>
          <w:jc w:val="center"/>
        </w:trPr>
        <w:tc>
          <w:tcPr>
            <w:tcW w:w="593" w:type="pct"/>
            <w:shd w:val="clear" w:color="auto" w:fill="auto"/>
            <w:noWrap/>
            <w:vAlign w:val="center"/>
            <w:hideMark/>
          </w:tcPr>
          <w:p w14:paraId="26C4EC9C"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V</w:t>
            </w:r>
          </w:p>
        </w:tc>
        <w:tc>
          <w:tcPr>
            <w:tcW w:w="732" w:type="pct"/>
            <w:shd w:val="clear" w:color="auto" w:fill="auto"/>
            <w:noWrap/>
            <w:vAlign w:val="center"/>
            <w:hideMark/>
          </w:tcPr>
          <w:p w14:paraId="6BB5E02E"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3,7</w:t>
            </w:r>
          </w:p>
        </w:tc>
        <w:tc>
          <w:tcPr>
            <w:tcW w:w="559" w:type="pct"/>
            <w:shd w:val="clear" w:color="auto" w:fill="auto"/>
            <w:noWrap/>
            <w:vAlign w:val="center"/>
            <w:hideMark/>
          </w:tcPr>
          <w:p w14:paraId="3B6637CD"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4,6</w:t>
            </w:r>
          </w:p>
        </w:tc>
        <w:tc>
          <w:tcPr>
            <w:tcW w:w="439" w:type="pct"/>
            <w:shd w:val="clear" w:color="auto" w:fill="auto"/>
            <w:noWrap/>
            <w:vAlign w:val="center"/>
            <w:hideMark/>
          </w:tcPr>
          <w:p w14:paraId="5B778D4F"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3,7</w:t>
            </w:r>
          </w:p>
        </w:tc>
        <w:tc>
          <w:tcPr>
            <w:tcW w:w="436" w:type="pct"/>
            <w:shd w:val="clear" w:color="auto" w:fill="auto"/>
            <w:noWrap/>
            <w:vAlign w:val="center"/>
            <w:hideMark/>
          </w:tcPr>
          <w:p w14:paraId="147507BD"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3,9</w:t>
            </w:r>
          </w:p>
        </w:tc>
        <w:tc>
          <w:tcPr>
            <w:tcW w:w="783" w:type="pct"/>
            <w:shd w:val="clear" w:color="auto" w:fill="auto"/>
            <w:noWrap/>
            <w:vAlign w:val="center"/>
            <w:hideMark/>
          </w:tcPr>
          <w:p w14:paraId="68B690AF"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12,3</w:t>
            </w:r>
          </w:p>
        </w:tc>
        <w:tc>
          <w:tcPr>
            <w:tcW w:w="599" w:type="pct"/>
            <w:shd w:val="clear" w:color="auto" w:fill="auto"/>
            <w:noWrap/>
            <w:vAlign w:val="center"/>
            <w:hideMark/>
          </w:tcPr>
          <w:p w14:paraId="3ED97E2A"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13,2</w:t>
            </w:r>
          </w:p>
        </w:tc>
        <w:tc>
          <w:tcPr>
            <w:tcW w:w="390" w:type="pct"/>
            <w:shd w:val="clear" w:color="auto" w:fill="auto"/>
            <w:noWrap/>
            <w:vAlign w:val="center"/>
            <w:hideMark/>
          </w:tcPr>
          <w:p w14:paraId="38C9DD03"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1,6</w:t>
            </w:r>
          </w:p>
        </w:tc>
        <w:tc>
          <w:tcPr>
            <w:tcW w:w="469" w:type="pct"/>
            <w:shd w:val="clear" w:color="auto" w:fill="auto"/>
            <w:noWrap/>
            <w:vAlign w:val="center"/>
            <w:hideMark/>
          </w:tcPr>
          <w:p w14:paraId="33308811"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7,7</w:t>
            </w:r>
          </w:p>
        </w:tc>
      </w:tr>
      <w:tr w:rsidR="006E18B8" w:rsidRPr="00545D7B" w14:paraId="6EA324FF" w14:textId="77777777" w:rsidTr="001F1D5E">
        <w:trPr>
          <w:trHeight w:val="300"/>
          <w:jc w:val="center"/>
        </w:trPr>
        <w:tc>
          <w:tcPr>
            <w:tcW w:w="593" w:type="pct"/>
            <w:shd w:val="clear" w:color="auto" w:fill="auto"/>
            <w:noWrap/>
            <w:vAlign w:val="center"/>
            <w:hideMark/>
          </w:tcPr>
          <w:p w14:paraId="375A74F8"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Zn</w:t>
            </w:r>
          </w:p>
        </w:tc>
        <w:tc>
          <w:tcPr>
            <w:tcW w:w="732" w:type="pct"/>
            <w:shd w:val="clear" w:color="auto" w:fill="auto"/>
            <w:noWrap/>
            <w:vAlign w:val="center"/>
            <w:hideMark/>
          </w:tcPr>
          <w:p w14:paraId="244623BD"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17,1</w:t>
            </w:r>
          </w:p>
        </w:tc>
        <w:tc>
          <w:tcPr>
            <w:tcW w:w="559" w:type="pct"/>
            <w:shd w:val="clear" w:color="auto" w:fill="auto"/>
            <w:noWrap/>
            <w:vAlign w:val="center"/>
            <w:hideMark/>
          </w:tcPr>
          <w:p w14:paraId="31D5D4BD"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14,2</w:t>
            </w:r>
          </w:p>
        </w:tc>
        <w:tc>
          <w:tcPr>
            <w:tcW w:w="439" w:type="pct"/>
            <w:shd w:val="clear" w:color="auto" w:fill="auto"/>
            <w:noWrap/>
            <w:vAlign w:val="center"/>
            <w:hideMark/>
          </w:tcPr>
          <w:p w14:paraId="734F30A5"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15,1</w:t>
            </w:r>
          </w:p>
        </w:tc>
        <w:tc>
          <w:tcPr>
            <w:tcW w:w="436" w:type="pct"/>
            <w:shd w:val="clear" w:color="auto" w:fill="auto"/>
            <w:noWrap/>
            <w:vAlign w:val="center"/>
            <w:hideMark/>
          </w:tcPr>
          <w:p w14:paraId="400A2FEA"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17,1</w:t>
            </w:r>
          </w:p>
        </w:tc>
        <w:tc>
          <w:tcPr>
            <w:tcW w:w="783" w:type="pct"/>
            <w:shd w:val="clear" w:color="auto" w:fill="auto"/>
            <w:noWrap/>
            <w:vAlign w:val="center"/>
            <w:hideMark/>
          </w:tcPr>
          <w:p w14:paraId="61DCF527"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21,2</w:t>
            </w:r>
          </w:p>
        </w:tc>
        <w:tc>
          <w:tcPr>
            <w:tcW w:w="599" w:type="pct"/>
            <w:shd w:val="clear" w:color="auto" w:fill="auto"/>
            <w:noWrap/>
            <w:vAlign w:val="center"/>
            <w:hideMark/>
          </w:tcPr>
          <w:p w14:paraId="74B5CE81"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21,7</w:t>
            </w:r>
          </w:p>
        </w:tc>
        <w:tc>
          <w:tcPr>
            <w:tcW w:w="390" w:type="pct"/>
            <w:shd w:val="clear" w:color="auto" w:fill="auto"/>
            <w:noWrap/>
            <w:vAlign w:val="center"/>
            <w:hideMark/>
          </w:tcPr>
          <w:p w14:paraId="7DC015EF"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13,2</w:t>
            </w:r>
          </w:p>
        </w:tc>
        <w:tc>
          <w:tcPr>
            <w:tcW w:w="469" w:type="pct"/>
            <w:shd w:val="clear" w:color="auto" w:fill="auto"/>
            <w:noWrap/>
            <w:vAlign w:val="center"/>
            <w:hideMark/>
          </w:tcPr>
          <w:p w14:paraId="4D166164" w14:textId="77777777" w:rsidR="006E18B8" w:rsidRPr="00545D7B" w:rsidRDefault="006E18B8" w:rsidP="006E18B8">
            <w:pPr>
              <w:spacing w:before="0" w:after="0"/>
              <w:jc w:val="center"/>
              <w:rPr>
                <w:rFonts w:ascii="Calibri" w:eastAsia="Times New Roman" w:hAnsi="Calibri" w:cs="Calibri"/>
                <w:color w:val="000000"/>
                <w:lang w:eastAsia="pt-BR"/>
              </w:rPr>
            </w:pPr>
            <w:r w:rsidRPr="00545D7B">
              <w:rPr>
                <w:rFonts w:ascii="Calibri" w:eastAsia="Times New Roman" w:hAnsi="Calibri" w:cs="Calibri"/>
                <w:color w:val="000000"/>
                <w:lang w:eastAsia="pt-BR"/>
              </w:rPr>
              <w:t>23,9</w:t>
            </w:r>
          </w:p>
        </w:tc>
      </w:tr>
    </w:tbl>
    <w:p w14:paraId="03CF4B84" w14:textId="3A8974A5" w:rsidR="006E18B8" w:rsidRDefault="00633B41" w:rsidP="006E18B8">
      <w:r>
        <w:tab/>
        <w:t xml:space="preserve">Os dados </w:t>
      </w:r>
      <w:proofErr w:type="spellStart"/>
      <w:r>
        <w:t>ds</w:t>
      </w:r>
      <w:proofErr w:type="spellEnd"/>
      <w:r>
        <w:t xml:space="preserve"> amostras de alumínio do período de transição foram inicialmente analisadas, mas os valores ficaram acima dos limites da curva de quantificação, sendo diluídas e reprocessadas, mas os resultados não foram ainda finalizados, devido á pandemia da COVID19, por isto não aparecem na Tabela 1.</w:t>
      </w:r>
    </w:p>
    <w:p w14:paraId="4290CA9D" w14:textId="0FE69DFD" w:rsidR="006E18B8" w:rsidRDefault="006E18B8" w:rsidP="005C2856">
      <w:pPr>
        <w:ind w:firstLine="360"/>
      </w:pPr>
      <w:r>
        <w:t xml:space="preserve">Estão apresentadas nas Figuras </w:t>
      </w:r>
      <w:r w:rsidR="00C01F08">
        <w:fldChar w:fldCharType="begin"/>
      </w:r>
      <w:r w:rsidR="00C01F08">
        <w:instrText xml:space="preserve"> REF Fig_agua_MT_variab_transi_varios_elem \h </w:instrText>
      </w:r>
      <w:r w:rsidR="00C01F08">
        <w:fldChar w:fldCharType="separate"/>
      </w:r>
      <w:r w:rsidR="002C014F">
        <w:rPr>
          <w:noProof/>
        </w:rPr>
        <w:t>1</w:t>
      </w:r>
      <w:r w:rsidR="00C01F08">
        <w:fldChar w:fldCharType="end"/>
      </w:r>
      <w:r w:rsidR="00C01F08">
        <w:t xml:space="preserve"> a </w:t>
      </w:r>
      <w:r w:rsidR="00C01F08">
        <w:fldChar w:fldCharType="begin"/>
      </w:r>
      <w:r w:rsidR="00C01F08">
        <w:instrText xml:space="preserve"> REF Fig_agua_MT_variab_transi_Fe \h </w:instrText>
      </w:r>
      <w:r w:rsidR="00C01F08">
        <w:fldChar w:fldCharType="separate"/>
      </w:r>
      <w:r w:rsidR="002C014F">
        <w:rPr>
          <w:noProof/>
        </w:rPr>
        <w:t>3</w:t>
      </w:r>
      <w:r w:rsidR="00C01F08">
        <w:fldChar w:fldCharType="end"/>
      </w:r>
      <w:r>
        <w:t xml:space="preserve"> as variabilidades de alguns elementos inorgânicos analisados nas amostras de água dos quatro ambientes dulcícolas estudados</w:t>
      </w:r>
      <w:r w:rsidR="00633B41">
        <w:t xml:space="preserve">, </w:t>
      </w:r>
      <w:r w:rsidR="00633B41" w:rsidRPr="00C9154E">
        <w:t xml:space="preserve">para o período de </w:t>
      </w:r>
      <w:r w:rsidR="00C9154E">
        <w:t>transição</w:t>
      </w:r>
      <w:r>
        <w:t>. A divisão dos elementos em diferentes figuras levou em consideração a magnitude dos valores obtidos:</w:t>
      </w:r>
    </w:p>
    <w:p w14:paraId="47B9C3B3" w14:textId="77777777" w:rsidR="006E18B8" w:rsidRPr="00872E7B" w:rsidRDefault="006E18B8" w:rsidP="006E18B8">
      <w:pPr>
        <w:pStyle w:val="PargrafodaLista"/>
        <w:numPr>
          <w:ilvl w:val="0"/>
          <w:numId w:val="10"/>
        </w:numPr>
        <w:spacing w:before="0" w:line="259" w:lineRule="auto"/>
        <w:rPr>
          <w:rFonts w:cstheme="minorHAnsi"/>
        </w:rPr>
      </w:pPr>
      <w:r w:rsidRPr="00872E7B">
        <w:rPr>
          <w:rFonts w:cstheme="minorHAnsi"/>
        </w:rPr>
        <w:t xml:space="preserve">As, Cd, Co, Cr, Cu, Hg, Ni, Pb, Sn, V e Zn (até 50 </w:t>
      </w:r>
      <w:r w:rsidRPr="00872E7B">
        <w:rPr>
          <w:rFonts w:ascii="Symbol" w:hAnsi="Symbol" w:cstheme="minorHAnsi"/>
        </w:rPr>
        <w:t></w:t>
      </w:r>
      <w:r w:rsidRPr="00872E7B">
        <w:rPr>
          <w:rFonts w:cstheme="minorHAnsi"/>
        </w:rPr>
        <w:t>g L</w:t>
      </w:r>
      <w:r w:rsidRPr="00872E7B">
        <w:rPr>
          <w:rFonts w:cstheme="minorHAnsi"/>
          <w:vertAlign w:val="superscript"/>
        </w:rPr>
        <w:t>-1</w:t>
      </w:r>
      <w:r w:rsidRPr="00872E7B">
        <w:rPr>
          <w:rFonts w:cstheme="minorHAnsi"/>
        </w:rPr>
        <w:t>),</w:t>
      </w:r>
    </w:p>
    <w:p w14:paraId="3C957BA0" w14:textId="77777777" w:rsidR="006E18B8" w:rsidRPr="00872E7B" w:rsidRDefault="006E18B8" w:rsidP="006E18B8">
      <w:pPr>
        <w:pStyle w:val="PargrafodaLista"/>
        <w:numPr>
          <w:ilvl w:val="0"/>
          <w:numId w:val="10"/>
        </w:numPr>
        <w:spacing w:before="0" w:line="259" w:lineRule="auto"/>
        <w:rPr>
          <w:rFonts w:cstheme="minorHAnsi"/>
        </w:rPr>
      </w:pPr>
      <w:r w:rsidRPr="00872E7B">
        <w:rPr>
          <w:rFonts w:cstheme="minorHAnsi"/>
        </w:rPr>
        <w:t xml:space="preserve">Ba e Mn (até 400 </w:t>
      </w:r>
      <w:r w:rsidRPr="00872E7B">
        <w:rPr>
          <w:rFonts w:ascii="Symbol" w:hAnsi="Symbol" w:cstheme="minorHAnsi"/>
        </w:rPr>
        <w:t></w:t>
      </w:r>
      <w:r w:rsidRPr="00872E7B">
        <w:rPr>
          <w:rFonts w:cstheme="minorHAnsi"/>
        </w:rPr>
        <w:t>g L</w:t>
      </w:r>
      <w:r w:rsidRPr="00872E7B">
        <w:rPr>
          <w:rFonts w:cstheme="minorHAnsi"/>
          <w:vertAlign w:val="superscript"/>
        </w:rPr>
        <w:t>-1</w:t>
      </w:r>
      <w:r w:rsidRPr="00872E7B">
        <w:rPr>
          <w:rFonts w:cstheme="minorHAnsi"/>
        </w:rPr>
        <w:t>),</w:t>
      </w:r>
    </w:p>
    <w:p w14:paraId="4DB47B8C" w14:textId="77777777" w:rsidR="006E18B8" w:rsidRDefault="006E18B8" w:rsidP="006E18B8">
      <w:pPr>
        <w:pStyle w:val="PargrafodaLista"/>
        <w:numPr>
          <w:ilvl w:val="0"/>
          <w:numId w:val="10"/>
        </w:numPr>
        <w:spacing w:before="0" w:line="259" w:lineRule="auto"/>
        <w:rPr>
          <w:rFonts w:cstheme="minorHAnsi"/>
        </w:rPr>
      </w:pPr>
      <w:r w:rsidRPr="00872E7B">
        <w:rPr>
          <w:rFonts w:cstheme="minorHAnsi"/>
        </w:rPr>
        <w:t xml:space="preserve">Fe (até 5000 </w:t>
      </w:r>
      <w:r w:rsidRPr="00872E7B">
        <w:rPr>
          <w:rFonts w:ascii="Symbol" w:hAnsi="Symbol" w:cstheme="minorHAnsi"/>
        </w:rPr>
        <w:t></w:t>
      </w:r>
      <w:r w:rsidRPr="00872E7B">
        <w:rPr>
          <w:rFonts w:cstheme="minorHAnsi"/>
        </w:rPr>
        <w:t>g L</w:t>
      </w:r>
      <w:r w:rsidRPr="00872E7B">
        <w:rPr>
          <w:rFonts w:cstheme="minorHAnsi"/>
          <w:vertAlign w:val="superscript"/>
        </w:rPr>
        <w:t>-1</w:t>
      </w:r>
      <w:r w:rsidRPr="00872E7B">
        <w:rPr>
          <w:rFonts w:cstheme="minorHAnsi"/>
        </w:rPr>
        <w:t>),</w:t>
      </w:r>
    </w:p>
    <w:p w14:paraId="014DC8A3" w14:textId="77777777" w:rsidR="006E18B8" w:rsidRDefault="006E18B8" w:rsidP="006E18B8">
      <w:pPr>
        <w:rPr>
          <w:rFonts w:cstheme="minorHAnsi"/>
        </w:rPr>
      </w:pPr>
    </w:p>
    <w:p w14:paraId="46760B8D" w14:textId="25A1F419" w:rsidR="006E18B8" w:rsidRDefault="006E18B8" w:rsidP="006E18B8">
      <w:pPr>
        <w:pStyle w:val="Legenda"/>
        <w:keepNext/>
      </w:pPr>
      <w:bookmarkStart w:id="12" w:name="_Ref41751474"/>
      <w:bookmarkStart w:id="13" w:name="_Toc46992135"/>
      <w:r>
        <w:lastRenderedPageBreak/>
        <w:t xml:space="preserve">Figura </w:t>
      </w:r>
      <w:bookmarkStart w:id="14" w:name="Fig_agua_MT_variab_transi_varios_elem"/>
      <w:r>
        <w:fldChar w:fldCharType="begin"/>
      </w:r>
      <w:r>
        <w:instrText xml:space="preserve"> SEQ Figura \* ARABIC </w:instrText>
      </w:r>
      <w:r>
        <w:fldChar w:fldCharType="separate"/>
      </w:r>
      <w:r w:rsidR="002C014F">
        <w:rPr>
          <w:noProof/>
        </w:rPr>
        <w:t>1</w:t>
      </w:r>
      <w:r>
        <w:rPr>
          <w:noProof/>
        </w:rPr>
        <w:fldChar w:fldCharType="end"/>
      </w:r>
      <w:bookmarkEnd w:id="12"/>
      <w:bookmarkEnd w:id="14"/>
      <w:r>
        <w:t xml:space="preserve"> - </w:t>
      </w:r>
      <w:r w:rsidRPr="000710B1">
        <w:t xml:space="preserve">Variabilidade de alguns elementos inorgânicos </w:t>
      </w:r>
      <w:r>
        <w:t xml:space="preserve">em água metais totais </w:t>
      </w:r>
      <w:r w:rsidRPr="000710B1">
        <w:t>nos sistemas do Rio Guandu, Rio Doce, Lagos e Lagoas.</w:t>
      </w:r>
      <w:bookmarkEnd w:id="13"/>
    </w:p>
    <w:p w14:paraId="39A5FF4F" w14:textId="77777777" w:rsidR="006E18B8" w:rsidRDefault="006E18B8" w:rsidP="006E18B8">
      <w:pPr>
        <w:jc w:val="center"/>
      </w:pPr>
      <w:r w:rsidRPr="00AE7DE4">
        <w:rPr>
          <w:noProof/>
          <w:lang w:eastAsia="pt-BR"/>
        </w:rPr>
        <w:drawing>
          <wp:inline distT="0" distB="0" distL="0" distR="0" wp14:anchorId="7A31FE9E" wp14:editId="16BC80F4">
            <wp:extent cx="3730078" cy="7200000"/>
            <wp:effectExtent l="0" t="0" r="3810" b="127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30078" cy="7200000"/>
                    </a:xfrm>
                    <a:prstGeom prst="rect">
                      <a:avLst/>
                    </a:prstGeom>
                    <a:noFill/>
                    <a:ln>
                      <a:noFill/>
                    </a:ln>
                  </pic:spPr>
                </pic:pic>
              </a:graphicData>
            </a:graphic>
          </wp:inline>
        </w:drawing>
      </w:r>
    </w:p>
    <w:p w14:paraId="3040406F" w14:textId="06829937" w:rsidR="006E18B8" w:rsidRDefault="006E18B8" w:rsidP="006E18B8">
      <w:pPr>
        <w:pStyle w:val="Legenda"/>
        <w:keepNext/>
      </w:pPr>
      <w:bookmarkStart w:id="15" w:name="_Ref41815226"/>
      <w:bookmarkStart w:id="16" w:name="_Toc46992136"/>
      <w:r>
        <w:lastRenderedPageBreak/>
        <w:t xml:space="preserve">Figura </w:t>
      </w:r>
      <w:fldSimple w:instr=" SEQ Figura \* ARABIC ">
        <w:r w:rsidR="002C014F">
          <w:rPr>
            <w:noProof/>
          </w:rPr>
          <w:t>2</w:t>
        </w:r>
      </w:fldSimple>
      <w:bookmarkEnd w:id="15"/>
      <w:r>
        <w:t xml:space="preserve"> - </w:t>
      </w:r>
      <w:r w:rsidRPr="00E425E6">
        <w:t xml:space="preserve">Variabilidade de Ba e Mn </w:t>
      </w:r>
      <w:r>
        <w:t xml:space="preserve">para água metais totais </w:t>
      </w:r>
      <w:r w:rsidRPr="00E425E6">
        <w:t>nos sistemas do Rio Guandu, Rio Doce, Lagos e Lagoas.</w:t>
      </w:r>
      <w:r w:rsidRPr="00AE7DE4">
        <w:rPr>
          <w:noProof/>
          <w:lang w:eastAsia="pt-BR"/>
        </w:rPr>
        <w:drawing>
          <wp:inline distT="0" distB="0" distL="0" distR="0" wp14:anchorId="43643E48" wp14:editId="3D988DBF">
            <wp:extent cx="3730086" cy="7200000"/>
            <wp:effectExtent l="0" t="0" r="3810" b="127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30086" cy="7200000"/>
                    </a:xfrm>
                    <a:prstGeom prst="rect">
                      <a:avLst/>
                    </a:prstGeom>
                    <a:noFill/>
                    <a:ln>
                      <a:noFill/>
                    </a:ln>
                  </pic:spPr>
                </pic:pic>
              </a:graphicData>
            </a:graphic>
          </wp:inline>
        </w:drawing>
      </w:r>
      <w:bookmarkEnd w:id="16"/>
    </w:p>
    <w:p w14:paraId="21FC100C" w14:textId="6C70B853" w:rsidR="00FC4B9F" w:rsidRDefault="00FC4B9F" w:rsidP="002C014F">
      <w:pPr>
        <w:rPr>
          <w:rFonts w:cstheme="minorHAnsi"/>
        </w:rPr>
      </w:pPr>
      <w:r>
        <w:rPr>
          <w:rFonts w:cstheme="minorHAnsi"/>
        </w:rPr>
        <w:t xml:space="preserve">Na </w:t>
      </w:r>
      <w:r>
        <w:rPr>
          <w:rFonts w:cstheme="minorHAnsi"/>
        </w:rPr>
        <w:fldChar w:fldCharType="begin"/>
      </w:r>
      <w:r>
        <w:rPr>
          <w:rFonts w:cstheme="minorHAnsi"/>
        </w:rPr>
        <w:instrText xml:space="preserve"> REF _Ref41751474 \h </w:instrText>
      </w:r>
      <w:r>
        <w:rPr>
          <w:rFonts w:cstheme="minorHAnsi"/>
        </w:rPr>
      </w:r>
      <w:r>
        <w:rPr>
          <w:rFonts w:cstheme="minorHAnsi"/>
        </w:rPr>
        <w:fldChar w:fldCharType="separate"/>
      </w:r>
      <w:r w:rsidR="002C014F">
        <w:t xml:space="preserve">Figura </w:t>
      </w:r>
      <w:r w:rsidR="002C014F">
        <w:rPr>
          <w:noProof/>
        </w:rPr>
        <w:t>1</w:t>
      </w:r>
      <w:r>
        <w:rPr>
          <w:rFonts w:cstheme="minorHAnsi"/>
        </w:rPr>
        <w:fldChar w:fldCharType="end"/>
      </w:r>
      <w:r>
        <w:rPr>
          <w:rFonts w:cstheme="minorHAnsi"/>
        </w:rPr>
        <w:t xml:space="preserve"> é possível perceber que se comparado </w:t>
      </w:r>
      <w:r w:rsidR="006D0C50">
        <w:rPr>
          <w:rFonts w:cstheme="minorHAnsi"/>
        </w:rPr>
        <w:t>as</w:t>
      </w:r>
      <w:r>
        <w:rPr>
          <w:rFonts w:cstheme="minorHAnsi"/>
        </w:rPr>
        <w:t xml:space="preserve"> média </w:t>
      </w:r>
      <w:r w:rsidR="006D0C50">
        <w:rPr>
          <w:rFonts w:cstheme="minorHAnsi"/>
        </w:rPr>
        <w:t>do</w:t>
      </w:r>
      <w:r>
        <w:rPr>
          <w:rFonts w:cstheme="minorHAnsi"/>
        </w:rPr>
        <w:t xml:space="preserve"> ambiente lacustre</w:t>
      </w:r>
      <w:r w:rsidR="006D0C50">
        <w:rPr>
          <w:rFonts w:cstheme="minorHAnsi"/>
        </w:rPr>
        <w:t xml:space="preserve"> (Lagos e  Lagoas)</w:t>
      </w:r>
      <w:r>
        <w:rPr>
          <w:rFonts w:cstheme="minorHAnsi"/>
        </w:rPr>
        <w:t xml:space="preserve">, todos os indicadores minoritários (As, Cu, Cr, Ni, Pb, V e Zn) apresentam valores </w:t>
      </w:r>
      <w:r w:rsidR="006D0C50">
        <w:rPr>
          <w:rFonts w:cstheme="minorHAnsi"/>
        </w:rPr>
        <w:t>menores que os obtidos</w:t>
      </w:r>
      <w:r>
        <w:rPr>
          <w:rFonts w:cstheme="minorHAnsi"/>
        </w:rPr>
        <w:t xml:space="preserve"> nos ambientes fluviais</w:t>
      </w:r>
      <w:r w:rsidR="006D0C50">
        <w:rPr>
          <w:rFonts w:cstheme="minorHAnsi"/>
        </w:rPr>
        <w:t xml:space="preserve"> (</w:t>
      </w:r>
      <w:r>
        <w:rPr>
          <w:rFonts w:cstheme="minorHAnsi"/>
        </w:rPr>
        <w:t xml:space="preserve">Doce </w:t>
      </w:r>
      <w:r w:rsidR="006D0C50">
        <w:rPr>
          <w:rFonts w:cstheme="minorHAnsi"/>
        </w:rPr>
        <w:t>e</w:t>
      </w:r>
      <w:r>
        <w:rPr>
          <w:rFonts w:cstheme="minorHAnsi"/>
        </w:rPr>
        <w:t xml:space="preserve"> Guandu). </w:t>
      </w:r>
      <w:r w:rsidRPr="00C9154E">
        <w:rPr>
          <w:rFonts w:cstheme="minorHAnsi"/>
        </w:rPr>
        <w:t xml:space="preserve">Como exemplo, </w:t>
      </w:r>
      <w:r w:rsidR="006D0C50" w:rsidRPr="00C9154E">
        <w:rPr>
          <w:rFonts w:cstheme="minorHAnsi"/>
        </w:rPr>
        <w:t xml:space="preserve">para o período de transição, </w:t>
      </w:r>
      <w:r w:rsidRPr="00C9154E">
        <w:rPr>
          <w:rFonts w:cstheme="minorHAnsi"/>
        </w:rPr>
        <w:t>fazendo-se uma média das médias obtidas para o Rio Guandu e  Doce e comparando este valor com a média calculada para os valores de Lagos e Lagoas, pode-se chegar a variaç</w:t>
      </w:r>
      <w:r w:rsidR="006D0C50" w:rsidRPr="00C9154E">
        <w:rPr>
          <w:rFonts w:cstheme="minorHAnsi"/>
        </w:rPr>
        <w:t>ões</w:t>
      </w:r>
      <w:r w:rsidRPr="00C9154E">
        <w:rPr>
          <w:rFonts w:cstheme="minorHAnsi"/>
        </w:rPr>
        <w:t xml:space="preserve"> numérica</w:t>
      </w:r>
      <w:r w:rsidR="006D0C50" w:rsidRPr="00C9154E">
        <w:rPr>
          <w:rFonts w:cstheme="minorHAnsi"/>
        </w:rPr>
        <w:t>s</w:t>
      </w:r>
      <w:r w:rsidRPr="00C9154E">
        <w:rPr>
          <w:rFonts w:cstheme="minorHAnsi"/>
        </w:rPr>
        <w:t>.</w:t>
      </w:r>
      <w:r>
        <w:rPr>
          <w:rFonts w:cstheme="minorHAnsi"/>
        </w:rPr>
        <w:t xml:space="preserve"> </w:t>
      </w:r>
      <w:r w:rsidR="006D0C50">
        <w:rPr>
          <w:rFonts w:cstheme="minorHAnsi"/>
        </w:rPr>
        <w:t>T</w:t>
      </w:r>
      <w:r>
        <w:rPr>
          <w:rFonts w:cstheme="minorHAnsi"/>
        </w:rPr>
        <w:t xml:space="preserve">em-se o V, Pb </w:t>
      </w:r>
      <w:r>
        <w:rPr>
          <w:rFonts w:cstheme="minorHAnsi"/>
        </w:rPr>
        <w:lastRenderedPageBreak/>
        <w:t>e Cu sendo 174%, 85% e 61% maiores</w:t>
      </w:r>
      <w:r w:rsidR="006D0C50">
        <w:rPr>
          <w:rFonts w:cstheme="minorHAnsi"/>
        </w:rPr>
        <w:t xml:space="preserve"> </w:t>
      </w:r>
      <w:r w:rsidR="006D0C50" w:rsidRPr="00C9154E">
        <w:rPr>
          <w:rFonts w:cstheme="minorHAnsi"/>
        </w:rPr>
        <w:t xml:space="preserve">nos rios em relação aos Lagos e  Lagoas, </w:t>
      </w:r>
      <w:r w:rsidRPr="00C9154E">
        <w:rPr>
          <w:rFonts w:cstheme="minorHAnsi"/>
        </w:rPr>
        <w:t>respectivamente.</w:t>
      </w:r>
      <w:r>
        <w:rPr>
          <w:rFonts w:cstheme="minorHAnsi"/>
        </w:rPr>
        <w:t xml:space="preserve"> Se comparado ao ano 1, apenas o Cu apresentou redução para todos os ambientes com teores 58% e 71% menores respectivamente no Rio Doce e nas </w:t>
      </w:r>
      <w:r w:rsidR="006D0C50">
        <w:rPr>
          <w:rFonts w:cstheme="minorHAnsi"/>
        </w:rPr>
        <w:t>L</w:t>
      </w:r>
      <w:r>
        <w:rPr>
          <w:rFonts w:cstheme="minorHAnsi"/>
        </w:rPr>
        <w:t xml:space="preserve">agoas. Ainda comparando ao ano 1, vale destacar o aumento nas concentrações de Zn, Cr e V no período de transição em todos os ambientes com exceção dos lagos. Esses aumentos chegaram por exemplo a 40% para Zn nas </w:t>
      </w:r>
      <w:r w:rsidR="006D0C50">
        <w:rPr>
          <w:rFonts w:cstheme="minorHAnsi"/>
        </w:rPr>
        <w:t>L</w:t>
      </w:r>
      <w:r>
        <w:rPr>
          <w:rFonts w:cstheme="minorHAnsi"/>
        </w:rPr>
        <w:t xml:space="preserve">agoas, 240% para Cr no Rio Doce e 232% para V no Rio Guandu. Quanto ao Pb, que no ano 1 não havia sido quantificado por estar abaixo do limite de quantificação, foi possível perceber sua presença em todos os ambientes durante o período de transição. </w:t>
      </w:r>
      <w:r w:rsidRPr="00C119A0">
        <w:rPr>
          <w:rFonts w:cstheme="minorHAnsi"/>
        </w:rPr>
        <w:t>Este comportamento pode ser explicado uma vez que o período de transição é um período que houve muita chuva, com revolvimento dos sedimentos, havendo possível lixiviação de metais minoritários que podem estar na água</w:t>
      </w:r>
      <w:r w:rsidR="00F34984">
        <w:rPr>
          <w:rFonts w:cstheme="minorHAnsi"/>
        </w:rPr>
        <w:t>, na forma dissolvida</w:t>
      </w:r>
      <w:r w:rsidRPr="00C119A0">
        <w:rPr>
          <w:rFonts w:cstheme="minorHAnsi"/>
        </w:rPr>
        <w:t xml:space="preserve"> ou</w:t>
      </w:r>
      <w:r w:rsidR="00F34984">
        <w:rPr>
          <w:rFonts w:cstheme="minorHAnsi"/>
        </w:rPr>
        <w:t xml:space="preserve"> no</w:t>
      </w:r>
      <w:r w:rsidRPr="00C119A0">
        <w:rPr>
          <w:rFonts w:cstheme="minorHAnsi"/>
        </w:rPr>
        <w:t xml:space="preserve"> material particulado em suspensão, ou seja, MPS</w:t>
      </w:r>
      <w:r w:rsidR="00F34984">
        <w:rPr>
          <w:rFonts w:cstheme="minorHAnsi"/>
        </w:rPr>
        <w:t>, consequentemente aumentando suas concentrações no parâmetro metais totais</w:t>
      </w:r>
      <w:r w:rsidRPr="00C119A0">
        <w:rPr>
          <w:rFonts w:cstheme="minorHAnsi"/>
        </w:rPr>
        <w:t>.</w:t>
      </w:r>
    </w:p>
    <w:p w14:paraId="5E0057DA" w14:textId="227AA2C9" w:rsidR="00FC4B9F" w:rsidRDefault="00FC4B9F" w:rsidP="00FC4B9F">
      <w:pPr>
        <w:ind w:firstLine="708"/>
        <w:rPr>
          <w:rFonts w:cstheme="minorHAnsi"/>
        </w:rPr>
      </w:pPr>
      <w:r>
        <w:rPr>
          <w:rFonts w:cstheme="minorHAnsi"/>
        </w:rPr>
        <w:t>No que diz respeito aos elementos majoritários, também considerados indicadores, Al, Fe, Mn e Ba não será apresentado neste momento apenas os resultados para Al por estarem em processo de revisão</w:t>
      </w:r>
      <w:r w:rsidR="00F34984">
        <w:rPr>
          <w:rFonts w:cstheme="minorHAnsi"/>
        </w:rPr>
        <w:t>, como mencionado acima</w:t>
      </w:r>
      <w:r>
        <w:rPr>
          <w:rFonts w:cstheme="minorHAnsi"/>
        </w:rPr>
        <w:t xml:space="preserve">. O Ba, </w:t>
      </w:r>
      <w:r>
        <w:rPr>
          <w:rFonts w:cstheme="minorHAnsi"/>
        </w:rPr>
        <w:fldChar w:fldCharType="begin"/>
      </w:r>
      <w:r>
        <w:rPr>
          <w:rFonts w:cstheme="minorHAnsi"/>
        </w:rPr>
        <w:instrText xml:space="preserve"> REF _Ref41815226 \h </w:instrText>
      </w:r>
      <w:r>
        <w:rPr>
          <w:rFonts w:cstheme="minorHAnsi"/>
        </w:rPr>
      </w:r>
      <w:r>
        <w:rPr>
          <w:rFonts w:cstheme="minorHAnsi"/>
        </w:rPr>
        <w:fldChar w:fldCharType="separate"/>
      </w:r>
      <w:r w:rsidR="002C014F">
        <w:t xml:space="preserve">Figura </w:t>
      </w:r>
      <w:r w:rsidR="002C014F">
        <w:rPr>
          <w:noProof/>
        </w:rPr>
        <w:t>2</w:t>
      </w:r>
      <w:r>
        <w:rPr>
          <w:rFonts w:cstheme="minorHAnsi"/>
        </w:rPr>
        <w:fldChar w:fldCharType="end"/>
      </w:r>
      <w:r>
        <w:rPr>
          <w:rFonts w:cstheme="minorHAnsi"/>
        </w:rPr>
        <w:t xml:space="preserve">, apresenta médias de concentrações e variabilidades similares entre os ambientes dulcícolas. </w:t>
      </w:r>
      <w:r w:rsidR="00F34984">
        <w:rPr>
          <w:rFonts w:cstheme="minorHAnsi"/>
        </w:rPr>
        <w:t>Entretanto</w:t>
      </w:r>
      <w:r>
        <w:rPr>
          <w:rFonts w:cstheme="minorHAnsi"/>
        </w:rPr>
        <w:t xml:space="preserve">, para o Mn suas concentrações e variabilidades são mais elevadas nas </w:t>
      </w:r>
      <w:r w:rsidR="00F34984">
        <w:rPr>
          <w:rFonts w:cstheme="minorHAnsi"/>
        </w:rPr>
        <w:t>L</w:t>
      </w:r>
      <w:r>
        <w:rPr>
          <w:rFonts w:cstheme="minorHAnsi"/>
        </w:rPr>
        <w:t>agoas e no Rio Doce que nos demais ambientes. Se comparado ao ano 1, os teores de Ba e Mn estão mais elevados no Rio Doce do que os demais ambientes, sendo 54% e 164% maiores no período de transição</w:t>
      </w:r>
      <w:r w:rsidR="00F34984">
        <w:rPr>
          <w:rFonts w:cstheme="minorHAnsi"/>
        </w:rPr>
        <w:t>,</w:t>
      </w:r>
      <w:r>
        <w:rPr>
          <w:rFonts w:cstheme="minorHAnsi"/>
        </w:rPr>
        <w:t xml:space="preserve"> respectivamente.</w:t>
      </w:r>
    </w:p>
    <w:p w14:paraId="4E372893" w14:textId="389FE744" w:rsidR="00FC4B9F" w:rsidRDefault="00FC4B9F" w:rsidP="00FC4B9F">
      <w:pPr>
        <w:ind w:firstLine="708"/>
        <w:rPr>
          <w:rFonts w:cstheme="minorHAnsi"/>
        </w:rPr>
      </w:pPr>
      <w:r>
        <w:rPr>
          <w:rFonts w:cstheme="minorHAnsi"/>
        </w:rPr>
        <w:t>Entre os elementos majoritários, o Fe é o único a apresentar diferenças de média de concentrações elevadas</w:t>
      </w:r>
      <w:r w:rsidR="00D23D19">
        <w:rPr>
          <w:rFonts w:cstheme="minorHAnsi"/>
        </w:rPr>
        <w:t xml:space="preserve"> determinada para todos os rios (</w:t>
      </w:r>
      <w:r>
        <w:rPr>
          <w:rFonts w:cstheme="minorHAnsi"/>
        </w:rPr>
        <w:t>ambientes fluviais</w:t>
      </w:r>
      <w:r w:rsidR="00D23D19">
        <w:rPr>
          <w:rFonts w:cstheme="minorHAnsi"/>
        </w:rPr>
        <w:t>)</w:t>
      </w:r>
      <w:r>
        <w:rPr>
          <w:rFonts w:cstheme="minorHAnsi"/>
        </w:rPr>
        <w:t xml:space="preserve"> e </w:t>
      </w:r>
      <w:r w:rsidR="00D23D19">
        <w:rPr>
          <w:rFonts w:cstheme="minorHAnsi"/>
        </w:rPr>
        <w:t xml:space="preserve">para todas as lagoas e lagos (ambiente </w:t>
      </w:r>
      <w:r>
        <w:rPr>
          <w:rFonts w:cstheme="minorHAnsi"/>
        </w:rPr>
        <w:t>lacustres</w:t>
      </w:r>
      <w:r w:rsidR="00D23D19">
        <w:rPr>
          <w:rFonts w:cstheme="minorHAnsi"/>
        </w:rPr>
        <w:t>)</w:t>
      </w:r>
      <w:r>
        <w:rPr>
          <w:rFonts w:cstheme="minorHAnsi"/>
        </w:rPr>
        <w:t xml:space="preserve">, sendo aqueles 98% maiores do que o último, como mostra a </w:t>
      </w:r>
      <w:r>
        <w:rPr>
          <w:rFonts w:cstheme="minorHAnsi"/>
        </w:rPr>
        <w:fldChar w:fldCharType="begin"/>
      </w:r>
      <w:r>
        <w:rPr>
          <w:rFonts w:cstheme="minorHAnsi"/>
        </w:rPr>
        <w:instrText xml:space="preserve"> REF _Ref41815984 \h </w:instrText>
      </w:r>
      <w:r>
        <w:rPr>
          <w:rFonts w:cstheme="minorHAnsi"/>
        </w:rPr>
      </w:r>
      <w:r>
        <w:rPr>
          <w:rFonts w:cstheme="minorHAnsi"/>
        </w:rPr>
        <w:fldChar w:fldCharType="separate"/>
      </w:r>
      <w:r w:rsidR="002C014F">
        <w:t xml:space="preserve">Figura </w:t>
      </w:r>
      <w:r w:rsidR="002C014F">
        <w:rPr>
          <w:noProof/>
        </w:rPr>
        <w:t>3</w:t>
      </w:r>
      <w:r>
        <w:rPr>
          <w:rFonts w:cstheme="minorHAnsi"/>
        </w:rPr>
        <w:fldChar w:fldCharType="end"/>
      </w:r>
      <w:r w:rsidR="00F34984">
        <w:rPr>
          <w:rFonts w:cstheme="minorHAnsi"/>
        </w:rPr>
        <w:t>, que se segue</w:t>
      </w:r>
      <w:r>
        <w:rPr>
          <w:rFonts w:cstheme="minorHAnsi"/>
        </w:rPr>
        <w:t xml:space="preserve">. Contudo este comportamento se deve às menores concentrações de Fe encontradas nos </w:t>
      </w:r>
      <w:r w:rsidR="00F34984">
        <w:rPr>
          <w:rFonts w:cstheme="minorHAnsi"/>
        </w:rPr>
        <w:t>L</w:t>
      </w:r>
      <w:r>
        <w:rPr>
          <w:rFonts w:cstheme="minorHAnsi"/>
        </w:rPr>
        <w:t xml:space="preserve">agos, pois as </w:t>
      </w:r>
      <w:r w:rsidR="00F34984">
        <w:rPr>
          <w:rFonts w:cstheme="minorHAnsi"/>
        </w:rPr>
        <w:t>L</w:t>
      </w:r>
      <w:r>
        <w:rPr>
          <w:rFonts w:cstheme="minorHAnsi"/>
        </w:rPr>
        <w:t xml:space="preserve">agoas apresentam teores apenas 23% menores </w:t>
      </w:r>
      <w:r w:rsidR="00F34984">
        <w:rPr>
          <w:rFonts w:cstheme="minorHAnsi"/>
        </w:rPr>
        <w:t>de que os valores obtidos para os</w:t>
      </w:r>
      <w:r>
        <w:rPr>
          <w:rFonts w:cstheme="minorHAnsi"/>
        </w:rPr>
        <w:t xml:space="preserve"> ambientes fluviais. Se comparado ao ano 1</w:t>
      </w:r>
      <w:r w:rsidR="00F34984">
        <w:rPr>
          <w:rFonts w:cstheme="minorHAnsi"/>
        </w:rPr>
        <w:t>,</w:t>
      </w:r>
      <w:r>
        <w:rPr>
          <w:rFonts w:cstheme="minorHAnsi"/>
        </w:rPr>
        <w:t xml:space="preserve"> apenas os </w:t>
      </w:r>
      <w:r w:rsidR="00F34984">
        <w:rPr>
          <w:rFonts w:cstheme="minorHAnsi"/>
        </w:rPr>
        <w:t>L</w:t>
      </w:r>
      <w:r>
        <w:rPr>
          <w:rFonts w:cstheme="minorHAnsi"/>
        </w:rPr>
        <w:t>agos apresentaram redução nas concentrações em média, sendo que para o Rio Doce os teo</w:t>
      </w:r>
      <w:r w:rsidR="00F34984">
        <w:rPr>
          <w:rFonts w:cstheme="minorHAnsi"/>
        </w:rPr>
        <w:t>res comparados foram 67% maiores</w:t>
      </w:r>
      <w:r>
        <w:rPr>
          <w:rFonts w:cstheme="minorHAnsi"/>
        </w:rPr>
        <w:t>.</w:t>
      </w:r>
      <w:r w:rsidR="00F34984">
        <w:rPr>
          <w:rFonts w:cstheme="minorHAnsi"/>
        </w:rPr>
        <w:t xml:space="preserve"> Mesmo com as chuvas, que poderiam ter causado um efeito de diluição, isto não ocorreu,</w:t>
      </w:r>
      <w:r w:rsidR="00114016">
        <w:rPr>
          <w:rFonts w:cstheme="minorHAnsi"/>
        </w:rPr>
        <w:t xml:space="preserve"> com exceção dos lagos,</w:t>
      </w:r>
      <w:r w:rsidR="00F34984">
        <w:rPr>
          <w:rFonts w:cstheme="minorHAnsi"/>
        </w:rPr>
        <w:t xml:space="preserve"> observando-se um aumento do teor, o que sugere que grande parte deste ferro estava no fundo e foi revolvido passando do</w:t>
      </w:r>
      <w:r w:rsidR="002B274F">
        <w:rPr>
          <w:rFonts w:cstheme="minorHAnsi"/>
        </w:rPr>
        <w:t>s</w:t>
      </w:r>
      <w:r w:rsidR="00F34984">
        <w:rPr>
          <w:rFonts w:cstheme="minorHAnsi"/>
        </w:rPr>
        <w:t xml:space="preserve"> sedimento</w:t>
      </w:r>
      <w:r w:rsidR="002B274F">
        <w:rPr>
          <w:rFonts w:cstheme="minorHAnsi"/>
        </w:rPr>
        <w:t>s</w:t>
      </w:r>
      <w:r w:rsidR="00F34984">
        <w:rPr>
          <w:rFonts w:cstheme="minorHAnsi"/>
        </w:rPr>
        <w:t xml:space="preserve"> para a água.</w:t>
      </w:r>
    </w:p>
    <w:p w14:paraId="2BF4A7C9" w14:textId="77777777" w:rsidR="006E18B8" w:rsidRPr="003A4FF2" w:rsidRDefault="006E18B8" w:rsidP="006E18B8"/>
    <w:p w14:paraId="63D58C1B" w14:textId="6ED4D90A" w:rsidR="006E18B8" w:rsidRDefault="006E18B8" w:rsidP="006E18B8">
      <w:pPr>
        <w:pStyle w:val="Legenda"/>
        <w:keepNext/>
      </w:pPr>
      <w:bookmarkStart w:id="17" w:name="_Ref41815984"/>
      <w:bookmarkStart w:id="18" w:name="_Toc46992137"/>
      <w:r>
        <w:lastRenderedPageBreak/>
        <w:t xml:space="preserve">Figura </w:t>
      </w:r>
      <w:bookmarkStart w:id="19" w:name="Fig_agua_MT_variab_transi_Fe"/>
      <w:r>
        <w:fldChar w:fldCharType="begin"/>
      </w:r>
      <w:r>
        <w:instrText xml:space="preserve"> SEQ Figura \* ARABIC </w:instrText>
      </w:r>
      <w:r>
        <w:fldChar w:fldCharType="separate"/>
      </w:r>
      <w:r w:rsidR="002C014F">
        <w:rPr>
          <w:noProof/>
        </w:rPr>
        <w:t>3</w:t>
      </w:r>
      <w:r>
        <w:rPr>
          <w:noProof/>
        </w:rPr>
        <w:fldChar w:fldCharType="end"/>
      </w:r>
      <w:bookmarkEnd w:id="17"/>
      <w:bookmarkEnd w:id="19"/>
      <w:r>
        <w:t xml:space="preserve"> - </w:t>
      </w:r>
      <w:r w:rsidRPr="00872F8F">
        <w:t xml:space="preserve">Variabilidade para Fe </w:t>
      </w:r>
      <w:r>
        <w:t>em água metais</w:t>
      </w:r>
      <w:r w:rsidR="00FC4B9F">
        <w:t>-</w:t>
      </w:r>
      <w:r>
        <w:t xml:space="preserve">totais </w:t>
      </w:r>
      <w:r w:rsidRPr="00872F8F">
        <w:t>nos sistemas do Rio Guandu, Rio Doce, Lagos e Lagoas</w:t>
      </w:r>
      <w:r w:rsidR="00FC4B9F">
        <w:t xml:space="preserve">, sendo que Al </w:t>
      </w:r>
      <w:r w:rsidR="002B274F">
        <w:t>está em fase de revisão</w:t>
      </w:r>
      <w:bookmarkEnd w:id="18"/>
    </w:p>
    <w:p w14:paraId="126CC998" w14:textId="77777777" w:rsidR="006E18B8" w:rsidRDefault="006E18B8" w:rsidP="006E18B8">
      <w:pPr>
        <w:pStyle w:val="Legenda"/>
        <w:keepNext/>
      </w:pPr>
      <w:r w:rsidRPr="00604B3D">
        <w:rPr>
          <w:noProof/>
          <w:lang w:eastAsia="pt-BR"/>
        </w:rPr>
        <w:drawing>
          <wp:inline distT="0" distB="0" distL="0" distR="0" wp14:anchorId="2133FBCC" wp14:editId="0EDB6DA5">
            <wp:extent cx="3730077" cy="7200000"/>
            <wp:effectExtent l="0" t="0" r="3810" b="127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30077" cy="7200000"/>
                    </a:xfrm>
                    <a:prstGeom prst="rect">
                      <a:avLst/>
                    </a:prstGeom>
                    <a:noFill/>
                    <a:ln>
                      <a:noFill/>
                    </a:ln>
                  </pic:spPr>
                </pic:pic>
              </a:graphicData>
            </a:graphic>
          </wp:inline>
        </w:drawing>
      </w:r>
    </w:p>
    <w:p w14:paraId="12319869" w14:textId="51DDC5E5" w:rsidR="006E18B8" w:rsidRDefault="006E18B8" w:rsidP="006E18B8">
      <w:pPr>
        <w:rPr>
          <w:rFonts w:cstheme="minorHAnsi"/>
        </w:rPr>
      </w:pPr>
      <w:r>
        <w:br w:type="page"/>
      </w:r>
    </w:p>
    <w:p w14:paraId="13B0A2C1" w14:textId="2D5CCF57" w:rsidR="006E18B8" w:rsidRDefault="006E18B8" w:rsidP="005C2856">
      <w:pPr>
        <w:ind w:firstLine="708"/>
        <w:rPr>
          <w:rFonts w:cstheme="minorHAnsi"/>
        </w:rPr>
      </w:pPr>
      <w:r>
        <w:rPr>
          <w:rFonts w:cstheme="minorHAnsi"/>
        </w:rPr>
        <w:lastRenderedPageBreak/>
        <w:t xml:space="preserve">As Tabelas </w:t>
      </w:r>
      <w:r w:rsidR="00B94B38">
        <w:rPr>
          <w:rFonts w:cstheme="minorHAnsi"/>
        </w:rPr>
        <w:fldChar w:fldCharType="begin"/>
      </w:r>
      <w:r w:rsidR="00B94B38">
        <w:rPr>
          <w:rFonts w:cstheme="minorHAnsi"/>
        </w:rPr>
        <w:instrText xml:space="preserve"> REF Tab_agua_MT_nao_conform_CONAMA \h </w:instrText>
      </w:r>
      <w:r w:rsidR="00B94B38">
        <w:rPr>
          <w:rFonts w:cstheme="minorHAnsi"/>
        </w:rPr>
      </w:r>
      <w:r w:rsidR="00B94B38">
        <w:rPr>
          <w:rFonts w:cstheme="minorHAnsi"/>
        </w:rPr>
        <w:fldChar w:fldCharType="separate"/>
      </w:r>
      <w:r w:rsidR="002C014F">
        <w:rPr>
          <w:noProof/>
        </w:rPr>
        <w:t>2</w:t>
      </w:r>
      <w:r w:rsidR="00B94B38">
        <w:rPr>
          <w:rFonts w:cstheme="minorHAnsi"/>
        </w:rPr>
        <w:fldChar w:fldCharType="end"/>
      </w:r>
      <w:r w:rsidR="00B94B38">
        <w:rPr>
          <w:rFonts w:cstheme="minorHAnsi"/>
        </w:rPr>
        <w:t xml:space="preserve"> e </w:t>
      </w:r>
      <w:r w:rsidR="00B94B38">
        <w:rPr>
          <w:rFonts w:cstheme="minorHAnsi"/>
        </w:rPr>
        <w:fldChar w:fldCharType="begin"/>
      </w:r>
      <w:r w:rsidR="00B94B38">
        <w:rPr>
          <w:rFonts w:cstheme="minorHAnsi"/>
        </w:rPr>
        <w:instrText xml:space="preserve"> REF Tab_agua_MT_nao_conform_NOAA \h </w:instrText>
      </w:r>
      <w:r w:rsidR="00B94B38">
        <w:rPr>
          <w:rFonts w:cstheme="minorHAnsi"/>
        </w:rPr>
      </w:r>
      <w:r w:rsidR="00B94B38">
        <w:rPr>
          <w:rFonts w:cstheme="minorHAnsi"/>
        </w:rPr>
        <w:fldChar w:fldCharType="separate"/>
      </w:r>
      <w:r w:rsidR="002C014F">
        <w:rPr>
          <w:noProof/>
        </w:rPr>
        <w:t>3</w:t>
      </w:r>
      <w:r w:rsidR="00B94B38">
        <w:rPr>
          <w:rFonts w:cstheme="minorHAnsi"/>
        </w:rPr>
        <w:fldChar w:fldCharType="end"/>
      </w:r>
      <w:r>
        <w:rPr>
          <w:rFonts w:cstheme="minorHAnsi"/>
        </w:rPr>
        <w:t xml:space="preserve"> apresentam os percentuais de não conformidades nos três semestres do PMBA para alguns elementos em água para o parâmetro de metais totais considerando limites CONAMA classe 2 e NOAA crônico, respectivamente. Já as Figuras </w:t>
      </w:r>
      <w:r w:rsidR="00CA56D5">
        <w:rPr>
          <w:rFonts w:cstheme="minorHAnsi"/>
        </w:rPr>
        <w:fldChar w:fldCharType="begin"/>
      </w:r>
      <w:r w:rsidR="00CA56D5">
        <w:rPr>
          <w:rFonts w:cstheme="minorHAnsi"/>
        </w:rPr>
        <w:instrText xml:space="preserve"> REF Fig_agua_MT_nao_conform_Co_Cu_Pb \h </w:instrText>
      </w:r>
      <w:r w:rsidR="00CA56D5">
        <w:rPr>
          <w:rFonts w:cstheme="minorHAnsi"/>
        </w:rPr>
      </w:r>
      <w:r w:rsidR="00CA56D5">
        <w:rPr>
          <w:rFonts w:cstheme="minorHAnsi"/>
        </w:rPr>
        <w:fldChar w:fldCharType="separate"/>
      </w:r>
      <w:r w:rsidR="002C014F">
        <w:rPr>
          <w:noProof/>
        </w:rPr>
        <w:t>4</w:t>
      </w:r>
      <w:r w:rsidR="00CA56D5">
        <w:rPr>
          <w:rFonts w:cstheme="minorHAnsi"/>
        </w:rPr>
        <w:fldChar w:fldCharType="end"/>
      </w:r>
      <w:r w:rsidR="00CA56D5">
        <w:rPr>
          <w:rFonts w:cstheme="minorHAnsi"/>
        </w:rPr>
        <w:t xml:space="preserve"> e </w:t>
      </w:r>
      <w:r w:rsidR="00CA56D5">
        <w:rPr>
          <w:rFonts w:cstheme="minorHAnsi"/>
        </w:rPr>
        <w:fldChar w:fldCharType="begin"/>
      </w:r>
      <w:r w:rsidR="00CA56D5">
        <w:rPr>
          <w:rFonts w:cstheme="minorHAnsi"/>
        </w:rPr>
        <w:instrText xml:space="preserve"> REF Fig_agua_MT_nao_conform_Ba_Mn_Fe \h </w:instrText>
      </w:r>
      <w:r w:rsidR="00CA56D5">
        <w:rPr>
          <w:rFonts w:cstheme="minorHAnsi"/>
        </w:rPr>
      </w:r>
      <w:r w:rsidR="00CA56D5">
        <w:rPr>
          <w:rFonts w:cstheme="minorHAnsi"/>
        </w:rPr>
        <w:fldChar w:fldCharType="separate"/>
      </w:r>
      <w:r w:rsidR="002C014F">
        <w:rPr>
          <w:noProof/>
        </w:rPr>
        <w:t>5</w:t>
      </w:r>
      <w:r w:rsidR="00CA56D5">
        <w:rPr>
          <w:rFonts w:cstheme="minorHAnsi"/>
        </w:rPr>
        <w:fldChar w:fldCharType="end"/>
      </w:r>
      <w:r>
        <w:rPr>
          <w:rFonts w:cstheme="minorHAnsi"/>
        </w:rPr>
        <w:t xml:space="preserve"> apresentam as variabilidades das concentrações de Co, C</w:t>
      </w:r>
      <w:r w:rsidR="008011AB">
        <w:rPr>
          <w:rFonts w:cstheme="minorHAnsi"/>
        </w:rPr>
        <w:t>u</w:t>
      </w:r>
      <w:r>
        <w:rPr>
          <w:rFonts w:cstheme="minorHAnsi"/>
        </w:rPr>
        <w:t>, Pb, Ba, Mn e Fe para os quatro ambientes estudados, durante esses três semestres do programa.</w:t>
      </w:r>
    </w:p>
    <w:p w14:paraId="77601385" w14:textId="77777777" w:rsidR="006E18B8" w:rsidRDefault="006E18B8" w:rsidP="006E18B8">
      <w:pPr>
        <w:rPr>
          <w:rFonts w:cstheme="minorHAnsi"/>
        </w:rPr>
      </w:pPr>
    </w:p>
    <w:p w14:paraId="3BD9DD3D" w14:textId="3B272B6D" w:rsidR="006E18B8" w:rsidRDefault="006E18B8" w:rsidP="006E18B8">
      <w:pPr>
        <w:pStyle w:val="Legenda"/>
        <w:keepNext/>
      </w:pPr>
      <w:bookmarkStart w:id="20" w:name="_Ref41819800"/>
      <w:bookmarkStart w:id="21" w:name="_Toc46992177"/>
      <w:r>
        <w:t xml:space="preserve">Tabela </w:t>
      </w:r>
      <w:bookmarkStart w:id="22" w:name="Tab_agua_MT_nao_conform_CONAMA"/>
      <w:r>
        <w:fldChar w:fldCharType="begin"/>
      </w:r>
      <w:r>
        <w:instrText xml:space="preserve"> SEQ Tabela \* ARABIC </w:instrText>
      </w:r>
      <w:r>
        <w:fldChar w:fldCharType="separate"/>
      </w:r>
      <w:r w:rsidR="002C014F">
        <w:rPr>
          <w:noProof/>
        </w:rPr>
        <w:t>2</w:t>
      </w:r>
      <w:r>
        <w:rPr>
          <w:noProof/>
        </w:rPr>
        <w:fldChar w:fldCharType="end"/>
      </w:r>
      <w:bookmarkEnd w:id="20"/>
      <w:bookmarkEnd w:id="22"/>
      <w:r>
        <w:t xml:space="preserve"> - </w:t>
      </w:r>
      <w:r w:rsidRPr="005A0EFC">
        <w:t>Percentual de não conformidades n</w:t>
      </w:r>
      <w:r>
        <w:t>a água</w:t>
      </w:r>
      <w:r w:rsidRPr="005A0EFC">
        <w:t xml:space="preserve"> para alguns elementos no parâmetro de metais totais comparado aos limites CONAMA </w:t>
      </w:r>
      <w:r>
        <w:t>classe 2</w:t>
      </w:r>
      <w:bookmarkEnd w:id="21"/>
    </w:p>
    <w:tbl>
      <w:tblPr>
        <w:tblStyle w:val="Tabelacomgrade"/>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1099"/>
        <w:gridCol w:w="2251"/>
        <w:gridCol w:w="2123"/>
        <w:gridCol w:w="2175"/>
      </w:tblGrid>
      <w:tr w:rsidR="006E18B8" w:rsidRPr="006E18B8" w14:paraId="52A3C71B" w14:textId="77777777" w:rsidTr="006E18B8">
        <w:trPr>
          <w:tblHeader/>
          <w:jc w:val="center"/>
        </w:trPr>
        <w:tc>
          <w:tcPr>
            <w:tcW w:w="784" w:type="pct"/>
            <w:vMerge w:val="restart"/>
            <w:tcBorders>
              <w:top w:val="single" w:sz="4" w:space="0" w:color="auto"/>
              <w:bottom w:val="nil"/>
            </w:tcBorders>
            <w:vAlign w:val="center"/>
          </w:tcPr>
          <w:p w14:paraId="300933D2" w14:textId="77777777" w:rsidR="006E18B8" w:rsidRPr="006E18B8" w:rsidRDefault="006E18B8" w:rsidP="006E18B8">
            <w:pPr>
              <w:spacing w:before="0"/>
              <w:jc w:val="center"/>
              <w:rPr>
                <w:rFonts w:cstheme="minorHAnsi"/>
                <w:b/>
                <w:bCs/>
              </w:rPr>
            </w:pPr>
            <w:r w:rsidRPr="006E18B8">
              <w:rPr>
                <w:rFonts w:cstheme="minorHAnsi"/>
                <w:b/>
                <w:bCs/>
              </w:rPr>
              <w:t>Elemento</w:t>
            </w:r>
          </w:p>
        </w:tc>
        <w:tc>
          <w:tcPr>
            <w:tcW w:w="606" w:type="pct"/>
            <w:vMerge w:val="restart"/>
            <w:tcBorders>
              <w:top w:val="single" w:sz="4" w:space="0" w:color="auto"/>
              <w:bottom w:val="nil"/>
            </w:tcBorders>
            <w:vAlign w:val="center"/>
          </w:tcPr>
          <w:p w14:paraId="6C15BDC7" w14:textId="77777777" w:rsidR="006E18B8" w:rsidRPr="006E18B8" w:rsidRDefault="006E18B8" w:rsidP="006E18B8">
            <w:pPr>
              <w:spacing w:before="0"/>
              <w:jc w:val="center"/>
              <w:rPr>
                <w:rFonts w:cstheme="minorHAnsi"/>
                <w:b/>
                <w:bCs/>
              </w:rPr>
            </w:pPr>
            <w:r w:rsidRPr="006E18B8">
              <w:rPr>
                <w:rFonts w:cstheme="minorHAnsi"/>
                <w:b/>
                <w:bCs/>
              </w:rPr>
              <w:t>Limite</w:t>
            </w:r>
          </w:p>
          <w:p w14:paraId="191E67DE" w14:textId="77777777" w:rsidR="006E18B8" w:rsidRPr="006E18B8" w:rsidRDefault="006E18B8" w:rsidP="006E18B8">
            <w:pPr>
              <w:spacing w:before="0"/>
              <w:jc w:val="center"/>
              <w:rPr>
                <w:rFonts w:cstheme="minorHAnsi"/>
                <w:b/>
                <w:bCs/>
              </w:rPr>
            </w:pPr>
            <w:r w:rsidRPr="006E18B8">
              <w:rPr>
                <w:rFonts w:cstheme="minorHAnsi"/>
                <w:b/>
                <w:bCs/>
              </w:rPr>
              <w:t>(µg L</w:t>
            </w:r>
            <w:r w:rsidRPr="006E18B8">
              <w:rPr>
                <w:rFonts w:cstheme="minorHAnsi"/>
                <w:b/>
                <w:bCs/>
                <w:vertAlign w:val="superscript"/>
              </w:rPr>
              <w:t>-1</w:t>
            </w:r>
            <w:r w:rsidRPr="006E18B8">
              <w:rPr>
                <w:rFonts w:cstheme="minorHAnsi"/>
                <w:b/>
                <w:bCs/>
              </w:rPr>
              <w:t>)</w:t>
            </w:r>
          </w:p>
        </w:tc>
        <w:tc>
          <w:tcPr>
            <w:tcW w:w="3610" w:type="pct"/>
            <w:gridSpan w:val="3"/>
            <w:tcBorders>
              <w:top w:val="single" w:sz="4" w:space="0" w:color="auto"/>
              <w:bottom w:val="nil"/>
            </w:tcBorders>
            <w:vAlign w:val="center"/>
          </w:tcPr>
          <w:p w14:paraId="3E836AC4" w14:textId="77777777" w:rsidR="006E18B8" w:rsidRPr="006E18B8" w:rsidRDefault="006E18B8" w:rsidP="006E18B8">
            <w:pPr>
              <w:spacing w:before="0"/>
              <w:jc w:val="center"/>
              <w:rPr>
                <w:rFonts w:cstheme="minorHAnsi"/>
                <w:b/>
                <w:bCs/>
              </w:rPr>
            </w:pPr>
            <w:r w:rsidRPr="006E18B8">
              <w:rPr>
                <w:rFonts w:cstheme="minorHAnsi"/>
                <w:b/>
                <w:bCs/>
              </w:rPr>
              <w:t>Não conformidades – CONAMA classe 2</w:t>
            </w:r>
          </w:p>
        </w:tc>
      </w:tr>
      <w:tr w:rsidR="006E18B8" w:rsidRPr="006E18B8" w14:paraId="2525B598" w14:textId="77777777" w:rsidTr="006E18B8">
        <w:trPr>
          <w:tblHeader/>
          <w:jc w:val="center"/>
        </w:trPr>
        <w:tc>
          <w:tcPr>
            <w:tcW w:w="784" w:type="pct"/>
            <w:vMerge/>
            <w:tcBorders>
              <w:top w:val="nil"/>
              <w:bottom w:val="single" w:sz="4" w:space="0" w:color="auto"/>
            </w:tcBorders>
            <w:vAlign w:val="center"/>
          </w:tcPr>
          <w:p w14:paraId="701A31D8" w14:textId="77777777" w:rsidR="006E18B8" w:rsidRPr="006E18B8" w:rsidRDefault="006E18B8" w:rsidP="006E18B8">
            <w:pPr>
              <w:spacing w:before="0"/>
              <w:jc w:val="center"/>
              <w:rPr>
                <w:rFonts w:cstheme="minorHAnsi"/>
                <w:b/>
                <w:bCs/>
              </w:rPr>
            </w:pPr>
          </w:p>
        </w:tc>
        <w:tc>
          <w:tcPr>
            <w:tcW w:w="606" w:type="pct"/>
            <w:vMerge/>
            <w:tcBorders>
              <w:top w:val="nil"/>
              <w:bottom w:val="single" w:sz="4" w:space="0" w:color="auto"/>
            </w:tcBorders>
            <w:vAlign w:val="center"/>
          </w:tcPr>
          <w:p w14:paraId="37F71FE8" w14:textId="77777777" w:rsidR="006E18B8" w:rsidRPr="006E18B8" w:rsidRDefault="006E18B8" w:rsidP="006E18B8">
            <w:pPr>
              <w:spacing w:before="0"/>
              <w:jc w:val="center"/>
              <w:rPr>
                <w:rFonts w:cstheme="minorHAnsi"/>
                <w:b/>
                <w:bCs/>
              </w:rPr>
            </w:pPr>
          </w:p>
        </w:tc>
        <w:tc>
          <w:tcPr>
            <w:tcW w:w="1241" w:type="pct"/>
            <w:tcBorders>
              <w:top w:val="nil"/>
              <w:bottom w:val="single" w:sz="4" w:space="0" w:color="auto"/>
            </w:tcBorders>
            <w:vAlign w:val="center"/>
          </w:tcPr>
          <w:p w14:paraId="1E8FEB9D" w14:textId="77777777" w:rsidR="006E18B8" w:rsidRPr="006E18B8" w:rsidRDefault="006E18B8" w:rsidP="006E18B8">
            <w:pPr>
              <w:spacing w:before="0"/>
              <w:jc w:val="center"/>
              <w:rPr>
                <w:rFonts w:cstheme="minorHAnsi"/>
                <w:b/>
                <w:bCs/>
              </w:rPr>
            </w:pPr>
            <w:r w:rsidRPr="006E18B8">
              <w:rPr>
                <w:rFonts w:cstheme="minorHAnsi"/>
                <w:b/>
                <w:bCs/>
              </w:rPr>
              <w:t>out/18 a mar/19</w:t>
            </w:r>
          </w:p>
        </w:tc>
        <w:tc>
          <w:tcPr>
            <w:tcW w:w="1170" w:type="pct"/>
            <w:tcBorders>
              <w:top w:val="nil"/>
              <w:bottom w:val="single" w:sz="4" w:space="0" w:color="auto"/>
            </w:tcBorders>
            <w:vAlign w:val="center"/>
          </w:tcPr>
          <w:p w14:paraId="124EA1D5" w14:textId="77777777" w:rsidR="006E18B8" w:rsidRPr="006E18B8" w:rsidRDefault="006E18B8" w:rsidP="006E18B8">
            <w:pPr>
              <w:spacing w:before="0"/>
              <w:jc w:val="center"/>
              <w:rPr>
                <w:rFonts w:cstheme="minorHAnsi"/>
                <w:b/>
                <w:bCs/>
              </w:rPr>
            </w:pPr>
            <w:proofErr w:type="spellStart"/>
            <w:r w:rsidRPr="006E18B8">
              <w:rPr>
                <w:rFonts w:cstheme="minorHAnsi"/>
                <w:b/>
                <w:bCs/>
              </w:rPr>
              <w:t>abr</w:t>
            </w:r>
            <w:proofErr w:type="spellEnd"/>
            <w:r w:rsidRPr="006E18B8">
              <w:rPr>
                <w:rFonts w:cstheme="minorHAnsi"/>
                <w:b/>
                <w:bCs/>
              </w:rPr>
              <w:t>/19 a set/19</w:t>
            </w:r>
          </w:p>
        </w:tc>
        <w:tc>
          <w:tcPr>
            <w:tcW w:w="1199" w:type="pct"/>
            <w:tcBorders>
              <w:top w:val="nil"/>
              <w:bottom w:val="single" w:sz="4" w:space="0" w:color="auto"/>
            </w:tcBorders>
            <w:vAlign w:val="center"/>
          </w:tcPr>
          <w:p w14:paraId="6DA319E7" w14:textId="77777777" w:rsidR="006E18B8" w:rsidRPr="006E18B8" w:rsidRDefault="006E18B8" w:rsidP="006E18B8">
            <w:pPr>
              <w:spacing w:before="0"/>
              <w:jc w:val="center"/>
              <w:rPr>
                <w:rFonts w:cstheme="minorHAnsi"/>
                <w:b/>
                <w:bCs/>
              </w:rPr>
            </w:pPr>
            <w:proofErr w:type="spellStart"/>
            <w:r w:rsidRPr="006E18B8">
              <w:rPr>
                <w:rFonts w:cstheme="minorHAnsi"/>
                <w:b/>
                <w:bCs/>
              </w:rPr>
              <w:t>nov</w:t>
            </w:r>
            <w:proofErr w:type="spellEnd"/>
            <w:r w:rsidRPr="006E18B8">
              <w:rPr>
                <w:rFonts w:cstheme="minorHAnsi"/>
                <w:b/>
                <w:bCs/>
              </w:rPr>
              <w:t xml:space="preserve">/19 a </w:t>
            </w:r>
            <w:proofErr w:type="spellStart"/>
            <w:r w:rsidRPr="006E18B8">
              <w:rPr>
                <w:rFonts w:cstheme="minorHAnsi"/>
                <w:b/>
                <w:bCs/>
              </w:rPr>
              <w:t>fev</w:t>
            </w:r>
            <w:proofErr w:type="spellEnd"/>
            <w:r w:rsidRPr="006E18B8">
              <w:rPr>
                <w:rFonts w:cstheme="minorHAnsi"/>
                <w:b/>
                <w:bCs/>
              </w:rPr>
              <w:t>/20</w:t>
            </w:r>
          </w:p>
        </w:tc>
      </w:tr>
      <w:tr w:rsidR="006E18B8" w14:paraId="0ED27B60" w14:textId="77777777" w:rsidTr="001F1D5E">
        <w:trPr>
          <w:jc w:val="center"/>
        </w:trPr>
        <w:tc>
          <w:tcPr>
            <w:tcW w:w="784" w:type="pct"/>
            <w:tcBorders>
              <w:top w:val="single" w:sz="4" w:space="0" w:color="auto"/>
            </w:tcBorders>
            <w:vAlign w:val="center"/>
          </w:tcPr>
          <w:p w14:paraId="32B459AB" w14:textId="77777777" w:rsidR="006E18B8" w:rsidRDefault="006E18B8" w:rsidP="006E18B8">
            <w:pPr>
              <w:spacing w:before="0"/>
              <w:jc w:val="center"/>
              <w:rPr>
                <w:rFonts w:cstheme="minorHAnsi"/>
              </w:rPr>
            </w:pPr>
            <w:r>
              <w:rPr>
                <w:rFonts w:cstheme="minorHAnsi"/>
              </w:rPr>
              <w:t>Ba</w:t>
            </w:r>
          </w:p>
        </w:tc>
        <w:tc>
          <w:tcPr>
            <w:tcW w:w="606" w:type="pct"/>
            <w:tcBorders>
              <w:top w:val="single" w:sz="4" w:space="0" w:color="auto"/>
            </w:tcBorders>
            <w:vAlign w:val="center"/>
          </w:tcPr>
          <w:p w14:paraId="4BE0B99B" w14:textId="77777777" w:rsidR="006E18B8" w:rsidRDefault="006E18B8" w:rsidP="006E18B8">
            <w:pPr>
              <w:spacing w:before="0"/>
              <w:jc w:val="center"/>
              <w:rPr>
                <w:rFonts w:cstheme="minorHAnsi"/>
              </w:rPr>
            </w:pPr>
            <w:r>
              <w:rPr>
                <w:rFonts w:cstheme="minorHAnsi"/>
              </w:rPr>
              <w:t>700</w:t>
            </w:r>
          </w:p>
        </w:tc>
        <w:tc>
          <w:tcPr>
            <w:tcW w:w="1241" w:type="pct"/>
            <w:tcBorders>
              <w:top w:val="single" w:sz="4" w:space="0" w:color="auto"/>
            </w:tcBorders>
            <w:vAlign w:val="center"/>
          </w:tcPr>
          <w:p w14:paraId="073D49E7" w14:textId="77777777" w:rsidR="006E18B8" w:rsidRDefault="006E18B8" w:rsidP="006E18B8">
            <w:pPr>
              <w:spacing w:before="0"/>
              <w:jc w:val="center"/>
              <w:rPr>
                <w:rFonts w:cstheme="minorHAnsi"/>
              </w:rPr>
            </w:pPr>
            <w:r>
              <w:rPr>
                <w:rFonts w:cstheme="minorHAnsi"/>
              </w:rPr>
              <w:t>0,0%</w:t>
            </w:r>
          </w:p>
        </w:tc>
        <w:tc>
          <w:tcPr>
            <w:tcW w:w="1170" w:type="pct"/>
            <w:tcBorders>
              <w:top w:val="single" w:sz="4" w:space="0" w:color="auto"/>
            </w:tcBorders>
            <w:vAlign w:val="center"/>
          </w:tcPr>
          <w:p w14:paraId="5548C72F" w14:textId="77777777" w:rsidR="006E18B8" w:rsidRDefault="006E18B8" w:rsidP="006E18B8">
            <w:pPr>
              <w:spacing w:before="0"/>
              <w:jc w:val="center"/>
              <w:rPr>
                <w:rFonts w:cstheme="minorHAnsi"/>
              </w:rPr>
            </w:pPr>
            <w:r>
              <w:rPr>
                <w:rFonts w:cstheme="minorHAnsi"/>
              </w:rPr>
              <w:t>0,0%</w:t>
            </w:r>
          </w:p>
        </w:tc>
        <w:tc>
          <w:tcPr>
            <w:tcW w:w="1199" w:type="pct"/>
            <w:tcBorders>
              <w:top w:val="single" w:sz="4" w:space="0" w:color="auto"/>
            </w:tcBorders>
            <w:vAlign w:val="center"/>
          </w:tcPr>
          <w:p w14:paraId="640E2C9D" w14:textId="77777777" w:rsidR="006E18B8" w:rsidRDefault="006E18B8" w:rsidP="006E18B8">
            <w:pPr>
              <w:spacing w:before="0"/>
              <w:jc w:val="center"/>
              <w:rPr>
                <w:rFonts w:cstheme="minorHAnsi"/>
              </w:rPr>
            </w:pPr>
            <w:r>
              <w:rPr>
                <w:rFonts w:cstheme="minorHAnsi"/>
              </w:rPr>
              <w:t>0,0%</w:t>
            </w:r>
          </w:p>
        </w:tc>
      </w:tr>
      <w:tr w:rsidR="006E18B8" w14:paraId="7831990E" w14:textId="77777777" w:rsidTr="001F1D5E">
        <w:trPr>
          <w:jc w:val="center"/>
        </w:trPr>
        <w:tc>
          <w:tcPr>
            <w:tcW w:w="784" w:type="pct"/>
            <w:vAlign w:val="center"/>
          </w:tcPr>
          <w:p w14:paraId="3BD3BA69" w14:textId="77777777" w:rsidR="006E18B8" w:rsidRDefault="006E18B8" w:rsidP="006E18B8">
            <w:pPr>
              <w:spacing w:before="0"/>
              <w:jc w:val="center"/>
              <w:rPr>
                <w:rFonts w:cstheme="minorHAnsi"/>
              </w:rPr>
            </w:pPr>
            <w:r>
              <w:rPr>
                <w:rFonts w:cstheme="minorHAnsi"/>
              </w:rPr>
              <w:t>Co</w:t>
            </w:r>
          </w:p>
        </w:tc>
        <w:tc>
          <w:tcPr>
            <w:tcW w:w="606" w:type="pct"/>
            <w:vAlign w:val="center"/>
          </w:tcPr>
          <w:p w14:paraId="44A33240" w14:textId="77777777" w:rsidR="006E18B8" w:rsidRDefault="006E18B8" w:rsidP="006E18B8">
            <w:pPr>
              <w:spacing w:before="0"/>
              <w:jc w:val="center"/>
              <w:rPr>
                <w:rFonts w:cstheme="minorHAnsi"/>
              </w:rPr>
            </w:pPr>
            <w:r>
              <w:rPr>
                <w:rFonts w:cstheme="minorHAnsi"/>
              </w:rPr>
              <w:t>50</w:t>
            </w:r>
          </w:p>
        </w:tc>
        <w:tc>
          <w:tcPr>
            <w:tcW w:w="1241" w:type="pct"/>
            <w:vAlign w:val="center"/>
          </w:tcPr>
          <w:p w14:paraId="43CB8E80" w14:textId="77777777" w:rsidR="006E18B8" w:rsidRDefault="006E18B8" w:rsidP="006E18B8">
            <w:pPr>
              <w:spacing w:before="0"/>
              <w:jc w:val="center"/>
              <w:rPr>
                <w:rFonts w:cstheme="minorHAnsi"/>
              </w:rPr>
            </w:pPr>
            <w:r>
              <w:rPr>
                <w:rFonts w:cstheme="minorHAnsi"/>
              </w:rPr>
              <w:t>0,0%</w:t>
            </w:r>
          </w:p>
        </w:tc>
        <w:tc>
          <w:tcPr>
            <w:tcW w:w="1170" w:type="pct"/>
            <w:vAlign w:val="center"/>
          </w:tcPr>
          <w:p w14:paraId="7326A8C0" w14:textId="77777777" w:rsidR="006E18B8" w:rsidRDefault="006E18B8" w:rsidP="006E18B8">
            <w:pPr>
              <w:spacing w:before="0"/>
              <w:jc w:val="center"/>
              <w:rPr>
                <w:rFonts w:cstheme="minorHAnsi"/>
              </w:rPr>
            </w:pPr>
            <w:r>
              <w:rPr>
                <w:rFonts w:cstheme="minorHAnsi"/>
              </w:rPr>
              <w:t>0,0%</w:t>
            </w:r>
          </w:p>
        </w:tc>
        <w:tc>
          <w:tcPr>
            <w:tcW w:w="1199" w:type="pct"/>
            <w:vAlign w:val="center"/>
          </w:tcPr>
          <w:p w14:paraId="2D24CF4D" w14:textId="77777777" w:rsidR="006E18B8" w:rsidRDefault="006E18B8" w:rsidP="006E18B8">
            <w:pPr>
              <w:spacing w:before="0"/>
              <w:jc w:val="center"/>
              <w:rPr>
                <w:rFonts w:cstheme="minorHAnsi"/>
              </w:rPr>
            </w:pPr>
            <w:r>
              <w:rPr>
                <w:rFonts w:cstheme="minorHAnsi"/>
              </w:rPr>
              <w:t>0,0%</w:t>
            </w:r>
          </w:p>
        </w:tc>
      </w:tr>
      <w:tr w:rsidR="006E18B8" w14:paraId="39B24731" w14:textId="77777777" w:rsidTr="001F1D5E">
        <w:trPr>
          <w:jc w:val="center"/>
        </w:trPr>
        <w:tc>
          <w:tcPr>
            <w:tcW w:w="784" w:type="pct"/>
            <w:vAlign w:val="center"/>
          </w:tcPr>
          <w:p w14:paraId="21C9B75B" w14:textId="77777777" w:rsidR="006E18B8" w:rsidRDefault="006E18B8" w:rsidP="006E18B8">
            <w:pPr>
              <w:spacing w:before="0"/>
              <w:jc w:val="center"/>
              <w:rPr>
                <w:rFonts w:cstheme="minorHAnsi"/>
              </w:rPr>
            </w:pPr>
            <w:r>
              <w:rPr>
                <w:rFonts w:cstheme="minorHAnsi"/>
              </w:rPr>
              <w:t>Cu</w:t>
            </w:r>
          </w:p>
        </w:tc>
        <w:tc>
          <w:tcPr>
            <w:tcW w:w="606" w:type="pct"/>
            <w:vAlign w:val="center"/>
          </w:tcPr>
          <w:p w14:paraId="528BEEE8" w14:textId="77777777" w:rsidR="006E18B8" w:rsidRDefault="006E18B8" w:rsidP="006E18B8">
            <w:pPr>
              <w:spacing w:before="0"/>
              <w:jc w:val="center"/>
              <w:rPr>
                <w:rFonts w:cstheme="minorHAnsi"/>
              </w:rPr>
            </w:pPr>
            <w:r>
              <w:rPr>
                <w:rFonts w:cstheme="minorHAnsi"/>
              </w:rPr>
              <w:t>-</w:t>
            </w:r>
          </w:p>
        </w:tc>
        <w:tc>
          <w:tcPr>
            <w:tcW w:w="1241" w:type="pct"/>
            <w:vAlign w:val="center"/>
          </w:tcPr>
          <w:p w14:paraId="5D5913BF" w14:textId="77777777" w:rsidR="006E18B8" w:rsidRDefault="006E18B8" w:rsidP="006E18B8">
            <w:pPr>
              <w:spacing w:before="0"/>
              <w:jc w:val="center"/>
              <w:rPr>
                <w:rFonts w:cstheme="minorHAnsi"/>
              </w:rPr>
            </w:pPr>
            <w:r>
              <w:rPr>
                <w:rFonts w:cstheme="minorHAnsi"/>
              </w:rPr>
              <w:t>-</w:t>
            </w:r>
          </w:p>
        </w:tc>
        <w:tc>
          <w:tcPr>
            <w:tcW w:w="1170" w:type="pct"/>
            <w:vAlign w:val="center"/>
          </w:tcPr>
          <w:p w14:paraId="3D575B95" w14:textId="77777777" w:rsidR="006E18B8" w:rsidRDefault="006E18B8" w:rsidP="006E18B8">
            <w:pPr>
              <w:spacing w:before="0"/>
              <w:jc w:val="center"/>
              <w:rPr>
                <w:rFonts w:cstheme="minorHAnsi"/>
              </w:rPr>
            </w:pPr>
            <w:r>
              <w:rPr>
                <w:rFonts w:cstheme="minorHAnsi"/>
              </w:rPr>
              <w:t>-</w:t>
            </w:r>
          </w:p>
        </w:tc>
        <w:tc>
          <w:tcPr>
            <w:tcW w:w="1199" w:type="pct"/>
            <w:vAlign w:val="center"/>
          </w:tcPr>
          <w:p w14:paraId="5B612AC2" w14:textId="77777777" w:rsidR="006E18B8" w:rsidRDefault="006E18B8" w:rsidP="006E18B8">
            <w:pPr>
              <w:spacing w:before="0"/>
              <w:jc w:val="center"/>
              <w:rPr>
                <w:rFonts w:cstheme="minorHAnsi"/>
              </w:rPr>
            </w:pPr>
            <w:r>
              <w:rPr>
                <w:rFonts w:cstheme="minorHAnsi"/>
              </w:rPr>
              <w:t>-</w:t>
            </w:r>
          </w:p>
        </w:tc>
      </w:tr>
      <w:tr w:rsidR="006E18B8" w14:paraId="4ED9916F" w14:textId="77777777" w:rsidTr="001F1D5E">
        <w:trPr>
          <w:jc w:val="center"/>
        </w:trPr>
        <w:tc>
          <w:tcPr>
            <w:tcW w:w="784" w:type="pct"/>
            <w:vAlign w:val="center"/>
          </w:tcPr>
          <w:p w14:paraId="0762002A" w14:textId="77777777" w:rsidR="006E18B8" w:rsidRDefault="006E18B8" w:rsidP="006E18B8">
            <w:pPr>
              <w:spacing w:before="0"/>
              <w:jc w:val="center"/>
              <w:rPr>
                <w:rFonts w:cstheme="minorHAnsi"/>
              </w:rPr>
            </w:pPr>
            <w:r>
              <w:rPr>
                <w:rFonts w:cstheme="minorHAnsi"/>
              </w:rPr>
              <w:t>Fe</w:t>
            </w:r>
          </w:p>
        </w:tc>
        <w:tc>
          <w:tcPr>
            <w:tcW w:w="606" w:type="pct"/>
            <w:vAlign w:val="center"/>
          </w:tcPr>
          <w:p w14:paraId="55AD0B2C" w14:textId="77777777" w:rsidR="006E18B8" w:rsidRDefault="006E18B8" w:rsidP="006E18B8">
            <w:pPr>
              <w:spacing w:before="0"/>
              <w:jc w:val="center"/>
              <w:rPr>
                <w:rFonts w:cstheme="minorHAnsi"/>
              </w:rPr>
            </w:pPr>
            <w:r>
              <w:rPr>
                <w:rFonts w:cstheme="minorHAnsi"/>
              </w:rPr>
              <w:t>-</w:t>
            </w:r>
          </w:p>
        </w:tc>
        <w:tc>
          <w:tcPr>
            <w:tcW w:w="1241" w:type="pct"/>
            <w:vAlign w:val="center"/>
          </w:tcPr>
          <w:p w14:paraId="6A926E80" w14:textId="77777777" w:rsidR="006E18B8" w:rsidRDefault="006E18B8" w:rsidP="006E18B8">
            <w:pPr>
              <w:spacing w:before="0"/>
              <w:jc w:val="center"/>
              <w:rPr>
                <w:rFonts w:cstheme="minorHAnsi"/>
              </w:rPr>
            </w:pPr>
            <w:r>
              <w:rPr>
                <w:rFonts w:cstheme="minorHAnsi"/>
              </w:rPr>
              <w:t>-</w:t>
            </w:r>
          </w:p>
        </w:tc>
        <w:tc>
          <w:tcPr>
            <w:tcW w:w="1170" w:type="pct"/>
            <w:vAlign w:val="center"/>
          </w:tcPr>
          <w:p w14:paraId="0EA60456" w14:textId="77777777" w:rsidR="006E18B8" w:rsidRDefault="006E18B8" w:rsidP="006E18B8">
            <w:pPr>
              <w:spacing w:before="0"/>
              <w:jc w:val="center"/>
              <w:rPr>
                <w:rFonts w:cstheme="minorHAnsi"/>
              </w:rPr>
            </w:pPr>
            <w:r>
              <w:rPr>
                <w:rFonts w:cstheme="minorHAnsi"/>
              </w:rPr>
              <w:t>-</w:t>
            </w:r>
          </w:p>
        </w:tc>
        <w:tc>
          <w:tcPr>
            <w:tcW w:w="1199" w:type="pct"/>
            <w:vAlign w:val="center"/>
          </w:tcPr>
          <w:p w14:paraId="120116EF" w14:textId="77777777" w:rsidR="006E18B8" w:rsidRDefault="006E18B8" w:rsidP="006E18B8">
            <w:pPr>
              <w:spacing w:before="0"/>
              <w:jc w:val="center"/>
              <w:rPr>
                <w:rFonts w:cstheme="minorHAnsi"/>
              </w:rPr>
            </w:pPr>
            <w:r>
              <w:rPr>
                <w:rFonts w:cstheme="minorHAnsi"/>
              </w:rPr>
              <w:t>-</w:t>
            </w:r>
          </w:p>
        </w:tc>
      </w:tr>
      <w:tr w:rsidR="006E18B8" w14:paraId="454FF0F7" w14:textId="77777777" w:rsidTr="001F1D5E">
        <w:trPr>
          <w:jc w:val="center"/>
        </w:trPr>
        <w:tc>
          <w:tcPr>
            <w:tcW w:w="784" w:type="pct"/>
            <w:vAlign w:val="center"/>
          </w:tcPr>
          <w:p w14:paraId="0BAD3B86" w14:textId="77777777" w:rsidR="006E18B8" w:rsidRDefault="006E18B8" w:rsidP="006E18B8">
            <w:pPr>
              <w:spacing w:before="0"/>
              <w:jc w:val="center"/>
              <w:rPr>
                <w:rFonts w:cstheme="minorHAnsi"/>
              </w:rPr>
            </w:pPr>
            <w:r>
              <w:rPr>
                <w:rFonts w:cstheme="minorHAnsi"/>
              </w:rPr>
              <w:t>Mn</w:t>
            </w:r>
          </w:p>
        </w:tc>
        <w:tc>
          <w:tcPr>
            <w:tcW w:w="606" w:type="pct"/>
            <w:vAlign w:val="center"/>
          </w:tcPr>
          <w:p w14:paraId="0FD14240" w14:textId="77777777" w:rsidR="006E18B8" w:rsidRDefault="006E18B8" w:rsidP="006E18B8">
            <w:pPr>
              <w:spacing w:before="0"/>
              <w:jc w:val="center"/>
              <w:rPr>
                <w:rFonts w:cstheme="minorHAnsi"/>
              </w:rPr>
            </w:pPr>
            <w:r>
              <w:rPr>
                <w:rFonts w:cstheme="minorHAnsi"/>
              </w:rPr>
              <w:t>100</w:t>
            </w:r>
          </w:p>
        </w:tc>
        <w:tc>
          <w:tcPr>
            <w:tcW w:w="1241" w:type="pct"/>
            <w:vAlign w:val="center"/>
          </w:tcPr>
          <w:p w14:paraId="69E73810" w14:textId="77777777" w:rsidR="006E18B8" w:rsidRDefault="006E18B8" w:rsidP="006E18B8">
            <w:pPr>
              <w:spacing w:before="0"/>
              <w:jc w:val="center"/>
              <w:rPr>
                <w:rFonts w:cstheme="minorHAnsi"/>
              </w:rPr>
            </w:pPr>
            <w:r>
              <w:rPr>
                <w:rFonts w:cstheme="minorHAnsi"/>
              </w:rPr>
              <w:t>16,2%</w:t>
            </w:r>
          </w:p>
        </w:tc>
        <w:tc>
          <w:tcPr>
            <w:tcW w:w="1170" w:type="pct"/>
            <w:vAlign w:val="center"/>
          </w:tcPr>
          <w:p w14:paraId="665E9B19" w14:textId="77777777" w:rsidR="006E18B8" w:rsidRDefault="006E18B8" w:rsidP="006E18B8">
            <w:pPr>
              <w:spacing w:before="0"/>
              <w:jc w:val="center"/>
              <w:rPr>
                <w:rFonts w:cstheme="minorHAnsi"/>
              </w:rPr>
            </w:pPr>
            <w:r>
              <w:rPr>
                <w:rFonts w:cstheme="minorHAnsi"/>
              </w:rPr>
              <w:t>14,2%</w:t>
            </w:r>
          </w:p>
        </w:tc>
        <w:tc>
          <w:tcPr>
            <w:tcW w:w="1199" w:type="pct"/>
            <w:vAlign w:val="center"/>
          </w:tcPr>
          <w:p w14:paraId="5670ED64" w14:textId="77777777" w:rsidR="006E18B8" w:rsidRDefault="006E18B8" w:rsidP="006E18B8">
            <w:pPr>
              <w:spacing w:before="0"/>
              <w:jc w:val="center"/>
              <w:rPr>
                <w:rFonts w:cstheme="minorHAnsi"/>
              </w:rPr>
            </w:pPr>
            <w:r>
              <w:rPr>
                <w:rFonts w:cstheme="minorHAnsi"/>
              </w:rPr>
              <w:t>19,1%</w:t>
            </w:r>
          </w:p>
        </w:tc>
      </w:tr>
      <w:tr w:rsidR="006E18B8" w14:paraId="723D5727" w14:textId="77777777" w:rsidTr="001F1D5E">
        <w:trPr>
          <w:jc w:val="center"/>
        </w:trPr>
        <w:tc>
          <w:tcPr>
            <w:tcW w:w="784" w:type="pct"/>
            <w:vAlign w:val="center"/>
          </w:tcPr>
          <w:p w14:paraId="26DC1331" w14:textId="77777777" w:rsidR="006E18B8" w:rsidRDefault="006E18B8" w:rsidP="006E18B8">
            <w:pPr>
              <w:spacing w:before="0"/>
              <w:jc w:val="center"/>
              <w:rPr>
                <w:rFonts w:cstheme="minorHAnsi"/>
              </w:rPr>
            </w:pPr>
            <w:r>
              <w:rPr>
                <w:rFonts w:cstheme="minorHAnsi"/>
              </w:rPr>
              <w:t>Pb</w:t>
            </w:r>
          </w:p>
        </w:tc>
        <w:tc>
          <w:tcPr>
            <w:tcW w:w="606" w:type="pct"/>
            <w:vAlign w:val="center"/>
          </w:tcPr>
          <w:p w14:paraId="63D90202" w14:textId="77777777" w:rsidR="006E18B8" w:rsidRDefault="006E18B8" w:rsidP="006E18B8">
            <w:pPr>
              <w:spacing w:before="0"/>
              <w:jc w:val="center"/>
              <w:rPr>
                <w:rFonts w:cstheme="minorHAnsi"/>
              </w:rPr>
            </w:pPr>
            <w:r>
              <w:rPr>
                <w:rFonts w:cstheme="minorHAnsi"/>
              </w:rPr>
              <w:t>10</w:t>
            </w:r>
          </w:p>
        </w:tc>
        <w:tc>
          <w:tcPr>
            <w:tcW w:w="1241" w:type="pct"/>
            <w:vAlign w:val="center"/>
          </w:tcPr>
          <w:p w14:paraId="172F044F" w14:textId="77777777" w:rsidR="006E18B8" w:rsidRDefault="006E18B8" w:rsidP="006E18B8">
            <w:pPr>
              <w:spacing w:before="0"/>
              <w:jc w:val="center"/>
              <w:rPr>
                <w:rFonts w:cstheme="minorHAnsi"/>
              </w:rPr>
            </w:pPr>
            <w:r>
              <w:rPr>
                <w:rFonts w:cstheme="minorHAnsi"/>
              </w:rPr>
              <w:t>0,0%</w:t>
            </w:r>
          </w:p>
        </w:tc>
        <w:tc>
          <w:tcPr>
            <w:tcW w:w="1170" w:type="pct"/>
            <w:vAlign w:val="center"/>
          </w:tcPr>
          <w:p w14:paraId="01C50EAA" w14:textId="77777777" w:rsidR="006E18B8" w:rsidRDefault="006E18B8" w:rsidP="006E18B8">
            <w:pPr>
              <w:spacing w:before="0"/>
              <w:jc w:val="center"/>
              <w:rPr>
                <w:rFonts w:cstheme="minorHAnsi"/>
              </w:rPr>
            </w:pPr>
            <w:r>
              <w:rPr>
                <w:rFonts w:cstheme="minorHAnsi"/>
              </w:rPr>
              <w:t>0,0%</w:t>
            </w:r>
          </w:p>
        </w:tc>
        <w:tc>
          <w:tcPr>
            <w:tcW w:w="1199" w:type="pct"/>
            <w:vAlign w:val="center"/>
          </w:tcPr>
          <w:p w14:paraId="7FD03990" w14:textId="77777777" w:rsidR="006E18B8" w:rsidRDefault="006E18B8" w:rsidP="006E18B8">
            <w:pPr>
              <w:spacing w:before="0"/>
              <w:jc w:val="center"/>
              <w:rPr>
                <w:rFonts w:cstheme="minorHAnsi"/>
              </w:rPr>
            </w:pPr>
            <w:r>
              <w:rPr>
                <w:rFonts w:cstheme="minorHAnsi"/>
              </w:rPr>
              <w:t>1,5%</w:t>
            </w:r>
          </w:p>
        </w:tc>
      </w:tr>
    </w:tbl>
    <w:p w14:paraId="36455E17" w14:textId="77777777" w:rsidR="006E18B8" w:rsidRDefault="006E18B8" w:rsidP="006E18B8">
      <w:pPr>
        <w:rPr>
          <w:rFonts w:cstheme="minorHAnsi"/>
        </w:rPr>
      </w:pPr>
    </w:p>
    <w:p w14:paraId="1E3779FD" w14:textId="3ADAE85D" w:rsidR="006E18B8" w:rsidRDefault="006E18B8" w:rsidP="006E18B8">
      <w:pPr>
        <w:pStyle w:val="Legenda"/>
        <w:keepNext/>
      </w:pPr>
      <w:bookmarkStart w:id="23" w:name="_Ref41819427"/>
      <w:bookmarkStart w:id="24" w:name="_Toc46992178"/>
      <w:r>
        <w:t xml:space="preserve">Tabela </w:t>
      </w:r>
      <w:bookmarkStart w:id="25" w:name="Tab_agua_MT_nao_conform_NOAA"/>
      <w:r>
        <w:fldChar w:fldCharType="begin"/>
      </w:r>
      <w:r>
        <w:instrText xml:space="preserve"> SEQ Tabela \* ARABIC </w:instrText>
      </w:r>
      <w:r>
        <w:fldChar w:fldCharType="separate"/>
      </w:r>
      <w:r w:rsidR="002C014F">
        <w:rPr>
          <w:noProof/>
        </w:rPr>
        <w:t>3</w:t>
      </w:r>
      <w:r>
        <w:rPr>
          <w:noProof/>
        </w:rPr>
        <w:fldChar w:fldCharType="end"/>
      </w:r>
      <w:bookmarkEnd w:id="23"/>
      <w:bookmarkEnd w:id="25"/>
      <w:r>
        <w:t xml:space="preserve"> - </w:t>
      </w:r>
      <w:r w:rsidRPr="00F52A78">
        <w:t xml:space="preserve">Percentual de não conformidades na água para alguns elementos no parâmetro de metais totais comparado aos limites </w:t>
      </w:r>
      <w:r>
        <w:t>NOAA crônico</w:t>
      </w:r>
      <w:bookmarkEnd w:id="24"/>
    </w:p>
    <w:tbl>
      <w:tblPr>
        <w:tblStyle w:val="Tabelacomgrade"/>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1099"/>
        <w:gridCol w:w="2251"/>
        <w:gridCol w:w="2123"/>
        <w:gridCol w:w="2175"/>
      </w:tblGrid>
      <w:tr w:rsidR="006E18B8" w:rsidRPr="006E18B8" w14:paraId="48149390" w14:textId="77777777" w:rsidTr="006E18B8">
        <w:trPr>
          <w:tblHeader/>
          <w:jc w:val="center"/>
        </w:trPr>
        <w:tc>
          <w:tcPr>
            <w:tcW w:w="784" w:type="pct"/>
            <w:vMerge w:val="restart"/>
            <w:tcBorders>
              <w:top w:val="single" w:sz="4" w:space="0" w:color="auto"/>
              <w:bottom w:val="nil"/>
            </w:tcBorders>
            <w:vAlign w:val="center"/>
          </w:tcPr>
          <w:p w14:paraId="514FAC63" w14:textId="77777777" w:rsidR="006E18B8" w:rsidRPr="006E18B8" w:rsidRDefault="006E18B8" w:rsidP="006E18B8">
            <w:pPr>
              <w:spacing w:before="0"/>
              <w:jc w:val="center"/>
              <w:rPr>
                <w:rFonts w:cstheme="minorHAnsi"/>
                <w:b/>
                <w:bCs/>
              </w:rPr>
            </w:pPr>
            <w:r w:rsidRPr="006E18B8">
              <w:rPr>
                <w:rFonts w:cstheme="minorHAnsi"/>
                <w:b/>
                <w:bCs/>
              </w:rPr>
              <w:t>Elemento</w:t>
            </w:r>
          </w:p>
        </w:tc>
        <w:tc>
          <w:tcPr>
            <w:tcW w:w="606" w:type="pct"/>
            <w:vMerge w:val="restart"/>
            <w:tcBorders>
              <w:top w:val="single" w:sz="4" w:space="0" w:color="auto"/>
              <w:bottom w:val="nil"/>
            </w:tcBorders>
            <w:vAlign w:val="center"/>
          </w:tcPr>
          <w:p w14:paraId="789524C2" w14:textId="77777777" w:rsidR="006E18B8" w:rsidRPr="006E18B8" w:rsidRDefault="006E18B8" w:rsidP="006E18B8">
            <w:pPr>
              <w:spacing w:before="0"/>
              <w:jc w:val="center"/>
              <w:rPr>
                <w:rFonts w:cstheme="minorHAnsi"/>
                <w:b/>
                <w:bCs/>
              </w:rPr>
            </w:pPr>
            <w:r w:rsidRPr="006E18B8">
              <w:rPr>
                <w:rFonts w:cstheme="minorHAnsi"/>
                <w:b/>
                <w:bCs/>
              </w:rPr>
              <w:t>Limite</w:t>
            </w:r>
          </w:p>
          <w:p w14:paraId="0CB01BAB" w14:textId="77777777" w:rsidR="006E18B8" w:rsidRPr="006E18B8" w:rsidRDefault="006E18B8" w:rsidP="006E18B8">
            <w:pPr>
              <w:spacing w:before="0"/>
              <w:jc w:val="center"/>
              <w:rPr>
                <w:rFonts w:cstheme="minorHAnsi"/>
                <w:b/>
                <w:bCs/>
              </w:rPr>
            </w:pPr>
            <w:r w:rsidRPr="006E18B8">
              <w:rPr>
                <w:rFonts w:cstheme="minorHAnsi"/>
                <w:b/>
                <w:bCs/>
              </w:rPr>
              <w:t>(µg L</w:t>
            </w:r>
            <w:r w:rsidRPr="006E18B8">
              <w:rPr>
                <w:rFonts w:cstheme="minorHAnsi"/>
                <w:b/>
                <w:bCs/>
                <w:vertAlign w:val="superscript"/>
              </w:rPr>
              <w:t>-1</w:t>
            </w:r>
            <w:r w:rsidRPr="006E18B8">
              <w:rPr>
                <w:rFonts w:cstheme="minorHAnsi"/>
                <w:b/>
                <w:bCs/>
              </w:rPr>
              <w:t>)</w:t>
            </w:r>
          </w:p>
        </w:tc>
        <w:tc>
          <w:tcPr>
            <w:tcW w:w="3610" w:type="pct"/>
            <w:gridSpan w:val="3"/>
            <w:tcBorders>
              <w:top w:val="single" w:sz="4" w:space="0" w:color="auto"/>
              <w:bottom w:val="nil"/>
            </w:tcBorders>
            <w:vAlign w:val="center"/>
          </w:tcPr>
          <w:p w14:paraId="5B2225E4" w14:textId="77777777" w:rsidR="006E18B8" w:rsidRPr="006E18B8" w:rsidRDefault="006E18B8" w:rsidP="006E18B8">
            <w:pPr>
              <w:spacing w:before="0"/>
              <w:jc w:val="center"/>
              <w:rPr>
                <w:rFonts w:cstheme="minorHAnsi"/>
                <w:b/>
                <w:bCs/>
              </w:rPr>
            </w:pPr>
            <w:r w:rsidRPr="006E18B8">
              <w:rPr>
                <w:rFonts w:cstheme="minorHAnsi"/>
                <w:b/>
                <w:bCs/>
              </w:rPr>
              <w:t>Não conformidades – NOAA Crônico</w:t>
            </w:r>
          </w:p>
        </w:tc>
      </w:tr>
      <w:tr w:rsidR="006E18B8" w:rsidRPr="006E18B8" w14:paraId="109BF394" w14:textId="77777777" w:rsidTr="006E18B8">
        <w:trPr>
          <w:tblHeader/>
          <w:jc w:val="center"/>
        </w:trPr>
        <w:tc>
          <w:tcPr>
            <w:tcW w:w="784" w:type="pct"/>
            <w:vMerge/>
            <w:tcBorders>
              <w:top w:val="nil"/>
              <w:bottom w:val="single" w:sz="4" w:space="0" w:color="auto"/>
            </w:tcBorders>
            <w:vAlign w:val="center"/>
          </w:tcPr>
          <w:p w14:paraId="586DDF31" w14:textId="77777777" w:rsidR="006E18B8" w:rsidRPr="006E18B8" w:rsidRDefault="006E18B8" w:rsidP="006E18B8">
            <w:pPr>
              <w:spacing w:before="0"/>
              <w:jc w:val="center"/>
              <w:rPr>
                <w:rFonts w:cstheme="minorHAnsi"/>
                <w:b/>
                <w:bCs/>
              </w:rPr>
            </w:pPr>
          </w:p>
        </w:tc>
        <w:tc>
          <w:tcPr>
            <w:tcW w:w="606" w:type="pct"/>
            <w:vMerge/>
            <w:tcBorders>
              <w:top w:val="nil"/>
              <w:bottom w:val="single" w:sz="4" w:space="0" w:color="auto"/>
            </w:tcBorders>
            <w:vAlign w:val="center"/>
          </w:tcPr>
          <w:p w14:paraId="0A183984" w14:textId="77777777" w:rsidR="006E18B8" w:rsidRPr="006E18B8" w:rsidRDefault="006E18B8" w:rsidP="006E18B8">
            <w:pPr>
              <w:spacing w:before="0"/>
              <w:jc w:val="center"/>
              <w:rPr>
                <w:rFonts w:cstheme="minorHAnsi"/>
                <w:b/>
                <w:bCs/>
              </w:rPr>
            </w:pPr>
          </w:p>
        </w:tc>
        <w:tc>
          <w:tcPr>
            <w:tcW w:w="1241" w:type="pct"/>
            <w:tcBorders>
              <w:top w:val="nil"/>
              <w:bottom w:val="single" w:sz="4" w:space="0" w:color="auto"/>
            </w:tcBorders>
            <w:vAlign w:val="center"/>
          </w:tcPr>
          <w:p w14:paraId="5E6320D8" w14:textId="77777777" w:rsidR="006E18B8" w:rsidRPr="006E18B8" w:rsidRDefault="006E18B8" w:rsidP="006E18B8">
            <w:pPr>
              <w:spacing w:before="0"/>
              <w:jc w:val="center"/>
              <w:rPr>
                <w:rFonts w:cstheme="minorHAnsi"/>
                <w:b/>
                <w:bCs/>
              </w:rPr>
            </w:pPr>
            <w:r w:rsidRPr="006E18B8">
              <w:rPr>
                <w:rFonts w:cstheme="minorHAnsi"/>
                <w:b/>
                <w:bCs/>
              </w:rPr>
              <w:t>out/18 a mar/19</w:t>
            </w:r>
          </w:p>
        </w:tc>
        <w:tc>
          <w:tcPr>
            <w:tcW w:w="1170" w:type="pct"/>
            <w:tcBorders>
              <w:top w:val="nil"/>
              <w:bottom w:val="single" w:sz="4" w:space="0" w:color="auto"/>
            </w:tcBorders>
            <w:vAlign w:val="center"/>
          </w:tcPr>
          <w:p w14:paraId="1BEFD889" w14:textId="77777777" w:rsidR="006E18B8" w:rsidRPr="006E18B8" w:rsidRDefault="006E18B8" w:rsidP="006E18B8">
            <w:pPr>
              <w:spacing w:before="0"/>
              <w:jc w:val="center"/>
              <w:rPr>
                <w:rFonts w:cstheme="minorHAnsi"/>
                <w:b/>
                <w:bCs/>
              </w:rPr>
            </w:pPr>
            <w:proofErr w:type="spellStart"/>
            <w:r w:rsidRPr="006E18B8">
              <w:rPr>
                <w:rFonts w:cstheme="minorHAnsi"/>
                <w:b/>
                <w:bCs/>
              </w:rPr>
              <w:t>abr</w:t>
            </w:r>
            <w:proofErr w:type="spellEnd"/>
            <w:r w:rsidRPr="006E18B8">
              <w:rPr>
                <w:rFonts w:cstheme="minorHAnsi"/>
                <w:b/>
                <w:bCs/>
              </w:rPr>
              <w:t>/19 a set/19</w:t>
            </w:r>
          </w:p>
        </w:tc>
        <w:tc>
          <w:tcPr>
            <w:tcW w:w="1199" w:type="pct"/>
            <w:tcBorders>
              <w:top w:val="nil"/>
              <w:bottom w:val="single" w:sz="4" w:space="0" w:color="auto"/>
            </w:tcBorders>
            <w:vAlign w:val="center"/>
          </w:tcPr>
          <w:p w14:paraId="5B52BFFB" w14:textId="77777777" w:rsidR="006E18B8" w:rsidRPr="006E18B8" w:rsidRDefault="006E18B8" w:rsidP="006E18B8">
            <w:pPr>
              <w:spacing w:before="0"/>
              <w:jc w:val="center"/>
              <w:rPr>
                <w:rFonts w:cstheme="minorHAnsi"/>
                <w:b/>
                <w:bCs/>
              </w:rPr>
            </w:pPr>
            <w:proofErr w:type="spellStart"/>
            <w:r w:rsidRPr="006E18B8">
              <w:rPr>
                <w:rFonts w:cstheme="minorHAnsi"/>
                <w:b/>
                <w:bCs/>
              </w:rPr>
              <w:t>nov</w:t>
            </w:r>
            <w:proofErr w:type="spellEnd"/>
            <w:r w:rsidRPr="006E18B8">
              <w:rPr>
                <w:rFonts w:cstheme="minorHAnsi"/>
                <w:b/>
                <w:bCs/>
              </w:rPr>
              <w:t xml:space="preserve">/19 a </w:t>
            </w:r>
            <w:proofErr w:type="spellStart"/>
            <w:r w:rsidRPr="006E18B8">
              <w:rPr>
                <w:rFonts w:cstheme="minorHAnsi"/>
                <w:b/>
                <w:bCs/>
              </w:rPr>
              <w:t>fev</w:t>
            </w:r>
            <w:proofErr w:type="spellEnd"/>
            <w:r w:rsidRPr="006E18B8">
              <w:rPr>
                <w:rFonts w:cstheme="minorHAnsi"/>
                <w:b/>
                <w:bCs/>
              </w:rPr>
              <w:t>/20</w:t>
            </w:r>
          </w:p>
        </w:tc>
      </w:tr>
      <w:tr w:rsidR="006E18B8" w14:paraId="6BF22780" w14:textId="77777777" w:rsidTr="001F1D5E">
        <w:trPr>
          <w:jc w:val="center"/>
        </w:trPr>
        <w:tc>
          <w:tcPr>
            <w:tcW w:w="784" w:type="pct"/>
            <w:tcBorders>
              <w:top w:val="single" w:sz="4" w:space="0" w:color="auto"/>
            </w:tcBorders>
            <w:vAlign w:val="center"/>
          </w:tcPr>
          <w:p w14:paraId="49DC1DC0" w14:textId="77777777" w:rsidR="006E18B8" w:rsidRDefault="006E18B8" w:rsidP="006E18B8">
            <w:pPr>
              <w:spacing w:before="0"/>
              <w:jc w:val="center"/>
              <w:rPr>
                <w:rFonts w:cstheme="minorHAnsi"/>
              </w:rPr>
            </w:pPr>
            <w:r>
              <w:rPr>
                <w:rFonts w:cstheme="minorHAnsi"/>
              </w:rPr>
              <w:t>Ba</w:t>
            </w:r>
          </w:p>
        </w:tc>
        <w:tc>
          <w:tcPr>
            <w:tcW w:w="606" w:type="pct"/>
            <w:tcBorders>
              <w:top w:val="single" w:sz="4" w:space="0" w:color="auto"/>
            </w:tcBorders>
            <w:vAlign w:val="center"/>
          </w:tcPr>
          <w:p w14:paraId="1C6E364E" w14:textId="77777777" w:rsidR="006E18B8" w:rsidRDefault="006E18B8" w:rsidP="006E18B8">
            <w:pPr>
              <w:spacing w:before="0"/>
              <w:jc w:val="center"/>
              <w:rPr>
                <w:rFonts w:cstheme="minorHAnsi"/>
              </w:rPr>
            </w:pPr>
            <w:r>
              <w:rPr>
                <w:rFonts w:cstheme="minorHAnsi"/>
              </w:rPr>
              <w:t>3,9</w:t>
            </w:r>
          </w:p>
        </w:tc>
        <w:tc>
          <w:tcPr>
            <w:tcW w:w="1241" w:type="pct"/>
            <w:tcBorders>
              <w:top w:val="single" w:sz="4" w:space="0" w:color="auto"/>
            </w:tcBorders>
            <w:vAlign w:val="center"/>
          </w:tcPr>
          <w:p w14:paraId="4B2602DC" w14:textId="77777777" w:rsidR="006E18B8" w:rsidRDefault="006E18B8" w:rsidP="006E18B8">
            <w:pPr>
              <w:spacing w:before="0"/>
              <w:jc w:val="center"/>
              <w:rPr>
                <w:rFonts w:cstheme="minorHAnsi"/>
              </w:rPr>
            </w:pPr>
            <w:r>
              <w:rPr>
                <w:rFonts w:cstheme="minorHAnsi"/>
              </w:rPr>
              <w:t>100,0%</w:t>
            </w:r>
          </w:p>
        </w:tc>
        <w:tc>
          <w:tcPr>
            <w:tcW w:w="1170" w:type="pct"/>
            <w:tcBorders>
              <w:top w:val="single" w:sz="4" w:space="0" w:color="auto"/>
            </w:tcBorders>
            <w:vAlign w:val="center"/>
          </w:tcPr>
          <w:p w14:paraId="0C48986D" w14:textId="77777777" w:rsidR="006E18B8" w:rsidRDefault="006E18B8" w:rsidP="006E18B8">
            <w:pPr>
              <w:spacing w:before="0"/>
              <w:jc w:val="center"/>
              <w:rPr>
                <w:rFonts w:cstheme="minorHAnsi"/>
              </w:rPr>
            </w:pPr>
            <w:r>
              <w:rPr>
                <w:rFonts w:cstheme="minorHAnsi"/>
              </w:rPr>
              <w:t>100,0%</w:t>
            </w:r>
          </w:p>
        </w:tc>
        <w:tc>
          <w:tcPr>
            <w:tcW w:w="1199" w:type="pct"/>
            <w:tcBorders>
              <w:top w:val="single" w:sz="4" w:space="0" w:color="auto"/>
            </w:tcBorders>
            <w:vAlign w:val="center"/>
          </w:tcPr>
          <w:p w14:paraId="580C53A8" w14:textId="77777777" w:rsidR="006E18B8" w:rsidRDefault="006E18B8" w:rsidP="006E18B8">
            <w:pPr>
              <w:spacing w:before="0"/>
              <w:jc w:val="center"/>
              <w:rPr>
                <w:rFonts w:cstheme="minorHAnsi"/>
              </w:rPr>
            </w:pPr>
            <w:r>
              <w:rPr>
                <w:rFonts w:cstheme="minorHAnsi"/>
              </w:rPr>
              <w:t>100,0%</w:t>
            </w:r>
          </w:p>
        </w:tc>
      </w:tr>
      <w:tr w:rsidR="006E18B8" w14:paraId="2D56BD6A" w14:textId="77777777" w:rsidTr="001F1D5E">
        <w:trPr>
          <w:jc w:val="center"/>
        </w:trPr>
        <w:tc>
          <w:tcPr>
            <w:tcW w:w="784" w:type="pct"/>
            <w:vAlign w:val="center"/>
          </w:tcPr>
          <w:p w14:paraId="43E240AD" w14:textId="77777777" w:rsidR="006E18B8" w:rsidRDefault="006E18B8" w:rsidP="006E18B8">
            <w:pPr>
              <w:spacing w:before="0"/>
              <w:jc w:val="center"/>
              <w:rPr>
                <w:rFonts w:cstheme="minorHAnsi"/>
              </w:rPr>
            </w:pPr>
            <w:r>
              <w:rPr>
                <w:rFonts w:cstheme="minorHAnsi"/>
              </w:rPr>
              <w:t>Co</w:t>
            </w:r>
          </w:p>
        </w:tc>
        <w:tc>
          <w:tcPr>
            <w:tcW w:w="606" w:type="pct"/>
            <w:vAlign w:val="center"/>
          </w:tcPr>
          <w:p w14:paraId="59D80B55" w14:textId="77777777" w:rsidR="006E18B8" w:rsidRDefault="006E18B8" w:rsidP="006E18B8">
            <w:pPr>
              <w:spacing w:before="0"/>
              <w:jc w:val="center"/>
              <w:rPr>
                <w:rFonts w:cstheme="minorHAnsi"/>
              </w:rPr>
            </w:pPr>
            <w:r>
              <w:rPr>
                <w:rFonts w:cstheme="minorHAnsi"/>
              </w:rPr>
              <w:t>3</w:t>
            </w:r>
          </w:p>
        </w:tc>
        <w:tc>
          <w:tcPr>
            <w:tcW w:w="1241" w:type="pct"/>
            <w:vAlign w:val="center"/>
          </w:tcPr>
          <w:p w14:paraId="50379797" w14:textId="77777777" w:rsidR="006E18B8" w:rsidRDefault="006E18B8" w:rsidP="006E18B8">
            <w:pPr>
              <w:spacing w:before="0"/>
              <w:jc w:val="center"/>
              <w:rPr>
                <w:rFonts w:cstheme="minorHAnsi"/>
              </w:rPr>
            </w:pPr>
            <w:r>
              <w:rPr>
                <w:rFonts w:cstheme="minorHAnsi"/>
              </w:rPr>
              <w:t>23,8%</w:t>
            </w:r>
          </w:p>
        </w:tc>
        <w:tc>
          <w:tcPr>
            <w:tcW w:w="1170" w:type="pct"/>
            <w:vAlign w:val="center"/>
          </w:tcPr>
          <w:p w14:paraId="7FBF6247" w14:textId="77777777" w:rsidR="006E18B8" w:rsidRDefault="006E18B8" w:rsidP="006E18B8">
            <w:pPr>
              <w:spacing w:before="0"/>
              <w:jc w:val="center"/>
              <w:rPr>
                <w:rFonts w:cstheme="minorHAnsi"/>
              </w:rPr>
            </w:pPr>
            <w:r>
              <w:rPr>
                <w:rFonts w:cstheme="minorHAnsi"/>
              </w:rPr>
              <w:t>61,3%</w:t>
            </w:r>
          </w:p>
        </w:tc>
        <w:tc>
          <w:tcPr>
            <w:tcW w:w="1199" w:type="pct"/>
            <w:vAlign w:val="center"/>
          </w:tcPr>
          <w:p w14:paraId="6C2A499B" w14:textId="77777777" w:rsidR="006E18B8" w:rsidRDefault="006E18B8" w:rsidP="006E18B8">
            <w:pPr>
              <w:spacing w:before="0"/>
              <w:jc w:val="center"/>
              <w:rPr>
                <w:rFonts w:cstheme="minorHAnsi"/>
              </w:rPr>
            </w:pPr>
            <w:r>
              <w:rPr>
                <w:rFonts w:cstheme="minorHAnsi"/>
              </w:rPr>
              <w:t>26,5%</w:t>
            </w:r>
          </w:p>
        </w:tc>
      </w:tr>
      <w:tr w:rsidR="006E18B8" w14:paraId="50AF0B06" w14:textId="77777777" w:rsidTr="001F1D5E">
        <w:trPr>
          <w:jc w:val="center"/>
        </w:trPr>
        <w:tc>
          <w:tcPr>
            <w:tcW w:w="784" w:type="pct"/>
            <w:vAlign w:val="center"/>
          </w:tcPr>
          <w:p w14:paraId="73AD59F4" w14:textId="77777777" w:rsidR="006E18B8" w:rsidRDefault="006E18B8" w:rsidP="006E18B8">
            <w:pPr>
              <w:spacing w:before="0"/>
              <w:jc w:val="center"/>
              <w:rPr>
                <w:rFonts w:cstheme="minorHAnsi"/>
              </w:rPr>
            </w:pPr>
            <w:r>
              <w:rPr>
                <w:rFonts w:cstheme="minorHAnsi"/>
              </w:rPr>
              <w:t>Cu</w:t>
            </w:r>
          </w:p>
        </w:tc>
        <w:tc>
          <w:tcPr>
            <w:tcW w:w="606" w:type="pct"/>
            <w:vAlign w:val="center"/>
          </w:tcPr>
          <w:p w14:paraId="5C60ECA9" w14:textId="77777777" w:rsidR="006E18B8" w:rsidRDefault="006E18B8" w:rsidP="006E18B8">
            <w:pPr>
              <w:spacing w:before="0"/>
              <w:jc w:val="center"/>
              <w:rPr>
                <w:rFonts w:cstheme="minorHAnsi"/>
              </w:rPr>
            </w:pPr>
            <w:r>
              <w:rPr>
                <w:rFonts w:cstheme="minorHAnsi"/>
              </w:rPr>
              <w:t>9</w:t>
            </w:r>
          </w:p>
        </w:tc>
        <w:tc>
          <w:tcPr>
            <w:tcW w:w="1241" w:type="pct"/>
            <w:vAlign w:val="center"/>
          </w:tcPr>
          <w:p w14:paraId="0D63F586" w14:textId="77777777" w:rsidR="006E18B8" w:rsidRDefault="006E18B8" w:rsidP="006E18B8">
            <w:pPr>
              <w:spacing w:before="0"/>
              <w:jc w:val="center"/>
              <w:rPr>
                <w:rFonts w:cstheme="minorHAnsi"/>
              </w:rPr>
            </w:pPr>
            <w:r>
              <w:rPr>
                <w:rFonts w:cstheme="minorHAnsi"/>
              </w:rPr>
              <w:t>4,8%</w:t>
            </w:r>
          </w:p>
        </w:tc>
        <w:tc>
          <w:tcPr>
            <w:tcW w:w="1170" w:type="pct"/>
            <w:vAlign w:val="center"/>
          </w:tcPr>
          <w:p w14:paraId="4ECEDF42" w14:textId="77777777" w:rsidR="006E18B8" w:rsidRDefault="006E18B8" w:rsidP="006E18B8">
            <w:pPr>
              <w:spacing w:before="0"/>
              <w:jc w:val="center"/>
              <w:rPr>
                <w:rFonts w:cstheme="minorHAnsi"/>
              </w:rPr>
            </w:pPr>
            <w:r>
              <w:rPr>
                <w:rFonts w:cstheme="minorHAnsi"/>
              </w:rPr>
              <w:t>44,3%</w:t>
            </w:r>
          </w:p>
        </w:tc>
        <w:tc>
          <w:tcPr>
            <w:tcW w:w="1199" w:type="pct"/>
            <w:vAlign w:val="center"/>
          </w:tcPr>
          <w:p w14:paraId="7157CF0D" w14:textId="77777777" w:rsidR="006E18B8" w:rsidRDefault="006E18B8" w:rsidP="006E18B8">
            <w:pPr>
              <w:spacing w:before="0"/>
              <w:jc w:val="center"/>
              <w:rPr>
                <w:rFonts w:cstheme="minorHAnsi"/>
              </w:rPr>
            </w:pPr>
            <w:r>
              <w:rPr>
                <w:rFonts w:cstheme="minorHAnsi"/>
              </w:rPr>
              <w:t>2,9%</w:t>
            </w:r>
          </w:p>
        </w:tc>
      </w:tr>
      <w:tr w:rsidR="006E18B8" w14:paraId="51C5D4F0" w14:textId="77777777" w:rsidTr="001F1D5E">
        <w:trPr>
          <w:jc w:val="center"/>
        </w:trPr>
        <w:tc>
          <w:tcPr>
            <w:tcW w:w="784" w:type="pct"/>
            <w:vAlign w:val="center"/>
          </w:tcPr>
          <w:p w14:paraId="6646D532" w14:textId="77777777" w:rsidR="006E18B8" w:rsidRDefault="006E18B8" w:rsidP="006E18B8">
            <w:pPr>
              <w:spacing w:before="0"/>
              <w:jc w:val="center"/>
              <w:rPr>
                <w:rFonts w:cstheme="minorHAnsi"/>
              </w:rPr>
            </w:pPr>
            <w:r>
              <w:rPr>
                <w:rFonts w:cstheme="minorHAnsi"/>
              </w:rPr>
              <w:t>Fe</w:t>
            </w:r>
          </w:p>
        </w:tc>
        <w:tc>
          <w:tcPr>
            <w:tcW w:w="606" w:type="pct"/>
            <w:vAlign w:val="center"/>
          </w:tcPr>
          <w:p w14:paraId="466DCE35" w14:textId="77777777" w:rsidR="006E18B8" w:rsidRDefault="006E18B8" w:rsidP="006E18B8">
            <w:pPr>
              <w:spacing w:before="0"/>
              <w:jc w:val="center"/>
              <w:rPr>
                <w:rFonts w:cstheme="minorHAnsi"/>
              </w:rPr>
            </w:pPr>
            <w:r>
              <w:rPr>
                <w:rFonts w:cstheme="minorHAnsi"/>
              </w:rPr>
              <w:t>1000</w:t>
            </w:r>
          </w:p>
        </w:tc>
        <w:tc>
          <w:tcPr>
            <w:tcW w:w="1241" w:type="pct"/>
            <w:vAlign w:val="center"/>
          </w:tcPr>
          <w:p w14:paraId="7D8CA86F" w14:textId="77777777" w:rsidR="006E18B8" w:rsidRDefault="006E18B8" w:rsidP="006E18B8">
            <w:pPr>
              <w:spacing w:before="0"/>
              <w:jc w:val="center"/>
              <w:rPr>
                <w:rFonts w:cstheme="minorHAnsi"/>
              </w:rPr>
            </w:pPr>
            <w:r>
              <w:rPr>
                <w:rFonts w:cstheme="minorHAnsi"/>
              </w:rPr>
              <w:t>61,0%</w:t>
            </w:r>
          </w:p>
        </w:tc>
        <w:tc>
          <w:tcPr>
            <w:tcW w:w="1170" w:type="pct"/>
            <w:vAlign w:val="center"/>
          </w:tcPr>
          <w:p w14:paraId="18269AB8" w14:textId="77777777" w:rsidR="006E18B8" w:rsidRDefault="006E18B8" w:rsidP="006E18B8">
            <w:pPr>
              <w:spacing w:before="0"/>
              <w:jc w:val="center"/>
              <w:rPr>
                <w:rFonts w:cstheme="minorHAnsi"/>
              </w:rPr>
            </w:pPr>
            <w:r>
              <w:rPr>
                <w:rFonts w:cstheme="minorHAnsi"/>
              </w:rPr>
              <w:t>76,4%</w:t>
            </w:r>
          </w:p>
        </w:tc>
        <w:tc>
          <w:tcPr>
            <w:tcW w:w="1199" w:type="pct"/>
            <w:vAlign w:val="center"/>
          </w:tcPr>
          <w:p w14:paraId="1C0A4A01" w14:textId="77777777" w:rsidR="006E18B8" w:rsidRDefault="006E18B8" w:rsidP="006E18B8">
            <w:pPr>
              <w:spacing w:before="0"/>
              <w:jc w:val="center"/>
              <w:rPr>
                <w:rFonts w:cstheme="minorHAnsi"/>
              </w:rPr>
            </w:pPr>
            <w:r>
              <w:rPr>
                <w:rFonts w:cstheme="minorHAnsi"/>
              </w:rPr>
              <w:t>63,2%</w:t>
            </w:r>
          </w:p>
        </w:tc>
      </w:tr>
      <w:tr w:rsidR="006E18B8" w14:paraId="4B9B83FC" w14:textId="77777777" w:rsidTr="001F1D5E">
        <w:trPr>
          <w:jc w:val="center"/>
        </w:trPr>
        <w:tc>
          <w:tcPr>
            <w:tcW w:w="784" w:type="pct"/>
            <w:vAlign w:val="center"/>
          </w:tcPr>
          <w:p w14:paraId="2D86ED74" w14:textId="77777777" w:rsidR="006E18B8" w:rsidRDefault="006E18B8" w:rsidP="006E18B8">
            <w:pPr>
              <w:spacing w:before="0"/>
              <w:jc w:val="center"/>
              <w:rPr>
                <w:rFonts w:cstheme="minorHAnsi"/>
              </w:rPr>
            </w:pPr>
            <w:r>
              <w:rPr>
                <w:rFonts w:cstheme="minorHAnsi"/>
              </w:rPr>
              <w:t>Mn</w:t>
            </w:r>
          </w:p>
        </w:tc>
        <w:tc>
          <w:tcPr>
            <w:tcW w:w="606" w:type="pct"/>
            <w:vAlign w:val="center"/>
          </w:tcPr>
          <w:p w14:paraId="2C50550E" w14:textId="77777777" w:rsidR="006E18B8" w:rsidRDefault="006E18B8" w:rsidP="006E18B8">
            <w:pPr>
              <w:spacing w:before="0"/>
              <w:jc w:val="center"/>
              <w:rPr>
                <w:rFonts w:cstheme="minorHAnsi"/>
              </w:rPr>
            </w:pPr>
            <w:r>
              <w:rPr>
                <w:rFonts w:cstheme="minorHAnsi"/>
              </w:rPr>
              <w:t>80</w:t>
            </w:r>
          </w:p>
        </w:tc>
        <w:tc>
          <w:tcPr>
            <w:tcW w:w="1241" w:type="pct"/>
            <w:vAlign w:val="center"/>
          </w:tcPr>
          <w:p w14:paraId="20DBD2BA" w14:textId="77777777" w:rsidR="006E18B8" w:rsidRDefault="006E18B8" w:rsidP="006E18B8">
            <w:pPr>
              <w:spacing w:before="0"/>
              <w:jc w:val="center"/>
              <w:rPr>
                <w:rFonts w:cstheme="minorHAnsi"/>
              </w:rPr>
            </w:pPr>
            <w:r>
              <w:rPr>
                <w:rFonts w:cstheme="minorHAnsi"/>
              </w:rPr>
              <w:t>23,8%</w:t>
            </w:r>
          </w:p>
        </w:tc>
        <w:tc>
          <w:tcPr>
            <w:tcW w:w="1170" w:type="pct"/>
            <w:vAlign w:val="center"/>
          </w:tcPr>
          <w:p w14:paraId="2C2FFED7" w14:textId="77777777" w:rsidR="006E18B8" w:rsidRDefault="006E18B8" w:rsidP="006E18B8">
            <w:pPr>
              <w:spacing w:before="0"/>
              <w:jc w:val="center"/>
              <w:rPr>
                <w:rFonts w:cstheme="minorHAnsi"/>
              </w:rPr>
            </w:pPr>
            <w:r>
              <w:rPr>
                <w:rFonts w:cstheme="minorHAnsi"/>
              </w:rPr>
              <w:t>17,9%</w:t>
            </w:r>
          </w:p>
        </w:tc>
        <w:tc>
          <w:tcPr>
            <w:tcW w:w="1199" w:type="pct"/>
            <w:vAlign w:val="center"/>
          </w:tcPr>
          <w:p w14:paraId="48504CB4" w14:textId="77777777" w:rsidR="006E18B8" w:rsidRDefault="006E18B8" w:rsidP="006E18B8">
            <w:pPr>
              <w:spacing w:before="0"/>
              <w:jc w:val="center"/>
              <w:rPr>
                <w:rFonts w:cstheme="minorHAnsi"/>
              </w:rPr>
            </w:pPr>
            <w:r>
              <w:rPr>
                <w:rFonts w:cstheme="minorHAnsi"/>
              </w:rPr>
              <w:t>27,9%</w:t>
            </w:r>
          </w:p>
        </w:tc>
      </w:tr>
      <w:tr w:rsidR="006E18B8" w14:paraId="537BBFCB" w14:textId="77777777" w:rsidTr="001F1D5E">
        <w:trPr>
          <w:jc w:val="center"/>
        </w:trPr>
        <w:tc>
          <w:tcPr>
            <w:tcW w:w="784" w:type="pct"/>
            <w:vAlign w:val="center"/>
          </w:tcPr>
          <w:p w14:paraId="28233849" w14:textId="77777777" w:rsidR="006E18B8" w:rsidRDefault="006E18B8" w:rsidP="006E18B8">
            <w:pPr>
              <w:spacing w:before="0"/>
              <w:jc w:val="center"/>
              <w:rPr>
                <w:rFonts w:cstheme="minorHAnsi"/>
              </w:rPr>
            </w:pPr>
            <w:r>
              <w:rPr>
                <w:rFonts w:cstheme="minorHAnsi"/>
              </w:rPr>
              <w:t>Pb</w:t>
            </w:r>
          </w:p>
        </w:tc>
        <w:tc>
          <w:tcPr>
            <w:tcW w:w="606" w:type="pct"/>
            <w:vAlign w:val="center"/>
          </w:tcPr>
          <w:p w14:paraId="6A3304E9" w14:textId="77777777" w:rsidR="006E18B8" w:rsidRDefault="006E18B8" w:rsidP="006E18B8">
            <w:pPr>
              <w:spacing w:before="0"/>
              <w:jc w:val="center"/>
              <w:rPr>
                <w:rFonts w:cstheme="minorHAnsi"/>
              </w:rPr>
            </w:pPr>
            <w:r>
              <w:rPr>
                <w:rFonts w:cstheme="minorHAnsi"/>
              </w:rPr>
              <w:t>2,5</w:t>
            </w:r>
          </w:p>
        </w:tc>
        <w:tc>
          <w:tcPr>
            <w:tcW w:w="1241" w:type="pct"/>
            <w:vAlign w:val="center"/>
          </w:tcPr>
          <w:p w14:paraId="425047EB" w14:textId="77777777" w:rsidR="006E18B8" w:rsidRDefault="006E18B8" w:rsidP="006E18B8">
            <w:pPr>
              <w:spacing w:before="0"/>
              <w:jc w:val="center"/>
              <w:rPr>
                <w:rFonts w:cstheme="minorHAnsi"/>
              </w:rPr>
            </w:pPr>
            <w:r>
              <w:rPr>
                <w:rFonts w:cstheme="minorHAnsi"/>
              </w:rPr>
              <w:t>32,4%</w:t>
            </w:r>
          </w:p>
        </w:tc>
        <w:tc>
          <w:tcPr>
            <w:tcW w:w="1170" w:type="pct"/>
            <w:vAlign w:val="center"/>
          </w:tcPr>
          <w:p w14:paraId="1CE3E414" w14:textId="77777777" w:rsidR="006E18B8" w:rsidRDefault="006E18B8" w:rsidP="006E18B8">
            <w:pPr>
              <w:spacing w:before="0"/>
              <w:jc w:val="center"/>
              <w:rPr>
                <w:rFonts w:cstheme="minorHAnsi"/>
              </w:rPr>
            </w:pPr>
            <w:r>
              <w:rPr>
                <w:rFonts w:cstheme="minorHAnsi"/>
              </w:rPr>
              <w:t>7,5%</w:t>
            </w:r>
          </w:p>
        </w:tc>
        <w:tc>
          <w:tcPr>
            <w:tcW w:w="1199" w:type="pct"/>
            <w:vAlign w:val="center"/>
          </w:tcPr>
          <w:p w14:paraId="6DB1A7B5" w14:textId="77777777" w:rsidR="006E18B8" w:rsidRDefault="006E18B8" w:rsidP="006E18B8">
            <w:pPr>
              <w:spacing w:before="0"/>
              <w:jc w:val="center"/>
              <w:rPr>
                <w:rFonts w:cstheme="minorHAnsi"/>
              </w:rPr>
            </w:pPr>
            <w:r>
              <w:rPr>
                <w:rFonts w:cstheme="minorHAnsi"/>
              </w:rPr>
              <w:t>67,6%</w:t>
            </w:r>
          </w:p>
        </w:tc>
      </w:tr>
    </w:tbl>
    <w:p w14:paraId="4D799E18" w14:textId="77777777" w:rsidR="006E18B8" w:rsidRDefault="006E18B8" w:rsidP="006E18B8"/>
    <w:p w14:paraId="4DB2E645" w14:textId="77777777" w:rsidR="006E18B8" w:rsidRDefault="006E18B8" w:rsidP="006E18B8"/>
    <w:p w14:paraId="6338BFF4" w14:textId="77777777" w:rsidR="006E18B8" w:rsidRDefault="006E18B8" w:rsidP="006E18B8">
      <w:pPr>
        <w:sectPr w:rsidR="006E18B8" w:rsidSect="00F3091D">
          <w:footerReference w:type="default" r:id="rId13"/>
          <w:pgSz w:w="11906" w:h="16838"/>
          <w:pgMar w:top="1701" w:right="1134" w:bottom="1134" w:left="1701" w:header="680" w:footer="567" w:gutter="0"/>
          <w:cols w:space="708"/>
          <w:docGrid w:linePitch="360"/>
        </w:sectPr>
      </w:pPr>
    </w:p>
    <w:p w14:paraId="1328DA25" w14:textId="6147374C" w:rsidR="006E18B8" w:rsidRDefault="006E18B8" w:rsidP="006E18B8">
      <w:pPr>
        <w:pStyle w:val="Legenda"/>
        <w:keepNext/>
      </w:pPr>
      <w:bookmarkStart w:id="26" w:name="_Ref41820285"/>
      <w:bookmarkStart w:id="27" w:name="_Toc46992138"/>
      <w:r>
        <w:lastRenderedPageBreak/>
        <w:t xml:space="preserve">Figura </w:t>
      </w:r>
      <w:bookmarkStart w:id="28" w:name="Fig_agua_MT_nao_conform_Co_Cu_Pb"/>
      <w:r>
        <w:fldChar w:fldCharType="begin"/>
      </w:r>
      <w:r>
        <w:instrText xml:space="preserve"> SEQ Figura \* ARABIC </w:instrText>
      </w:r>
      <w:r>
        <w:fldChar w:fldCharType="separate"/>
      </w:r>
      <w:r w:rsidR="002C014F">
        <w:rPr>
          <w:noProof/>
        </w:rPr>
        <w:t>4</w:t>
      </w:r>
      <w:r>
        <w:rPr>
          <w:noProof/>
        </w:rPr>
        <w:fldChar w:fldCharType="end"/>
      </w:r>
      <w:bookmarkEnd w:id="26"/>
      <w:bookmarkEnd w:id="28"/>
      <w:r>
        <w:t xml:space="preserve"> - </w:t>
      </w:r>
      <w:r w:rsidRPr="001A4558">
        <w:t xml:space="preserve">Variabilidade por ambiente para </w:t>
      </w:r>
      <w:r>
        <w:t>Co</w:t>
      </w:r>
      <w:r w:rsidRPr="001A4558">
        <w:t>, C</w:t>
      </w:r>
      <w:r>
        <w:t>u</w:t>
      </w:r>
      <w:r w:rsidRPr="001A4558">
        <w:t xml:space="preserve"> e </w:t>
      </w:r>
      <w:r>
        <w:t>Pb</w:t>
      </w:r>
      <w:r w:rsidRPr="001A4558">
        <w:t xml:space="preserve">. em </w:t>
      </w:r>
      <w:r>
        <w:t>água</w:t>
      </w:r>
      <w:r w:rsidRPr="001A4558">
        <w:t xml:space="preserve"> no parâmetro de metais totais.</w:t>
      </w:r>
      <w:bookmarkEnd w:id="27"/>
    </w:p>
    <w:p w14:paraId="21458380" w14:textId="77777777" w:rsidR="006E18B8" w:rsidRDefault="006E18B8" w:rsidP="006E18B8">
      <w:pPr>
        <w:jc w:val="center"/>
        <w:sectPr w:rsidR="006E18B8" w:rsidSect="00F3091D">
          <w:headerReference w:type="default" r:id="rId14"/>
          <w:pgSz w:w="16838" w:h="11906" w:orient="landscape"/>
          <w:pgMar w:top="1701" w:right="1134" w:bottom="1134" w:left="1417" w:header="680" w:footer="567" w:gutter="0"/>
          <w:cols w:space="708"/>
          <w:docGrid w:linePitch="360"/>
        </w:sectPr>
      </w:pPr>
    </w:p>
    <w:p w14:paraId="02D298F9" w14:textId="77777777" w:rsidR="006E18B8" w:rsidRDefault="006E18B8" w:rsidP="006E18B8">
      <w:r w:rsidRPr="002479D5">
        <w:rPr>
          <w:noProof/>
          <w:lang w:eastAsia="pt-BR"/>
        </w:rPr>
        <w:drawing>
          <wp:inline distT="0" distB="0" distL="0" distR="0" wp14:anchorId="52C6FC4A" wp14:editId="60542383">
            <wp:extent cx="2424906" cy="4680000"/>
            <wp:effectExtent l="0" t="0" r="0" b="635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24906" cy="4680000"/>
                    </a:xfrm>
                    <a:prstGeom prst="rect">
                      <a:avLst/>
                    </a:prstGeom>
                    <a:noFill/>
                    <a:ln>
                      <a:noFill/>
                    </a:ln>
                  </pic:spPr>
                </pic:pic>
              </a:graphicData>
            </a:graphic>
          </wp:inline>
        </w:drawing>
      </w:r>
    </w:p>
    <w:p w14:paraId="64434945" w14:textId="77777777" w:rsidR="006E18B8" w:rsidRDefault="006E18B8" w:rsidP="006E18B8">
      <w:r w:rsidRPr="002479D5">
        <w:rPr>
          <w:noProof/>
          <w:lang w:eastAsia="pt-BR"/>
        </w:rPr>
        <w:drawing>
          <wp:inline distT="0" distB="0" distL="0" distR="0" wp14:anchorId="6D8B76CE" wp14:editId="3287A100">
            <wp:extent cx="2424906" cy="4680000"/>
            <wp:effectExtent l="0" t="0" r="0" b="635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24906" cy="4680000"/>
                    </a:xfrm>
                    <a:prstGeom prst="rect">
                      <a:avLst/>
                    </a:prstGeom>
                    <a:noFill/>
                    <a:ln>
                      <a:noFill/>
                    </a:ln>
                  </pic:spPr>
                </pic:pic>
              </a:graphicData>
            </a:graphic>
          </wp:inline>
        </w:drawing>
      </w:r>
      <w:r>
        <w:br w:type="column"/>
      </w:r>
      <w:r w:rsidRPr="000A0EF4">
        <w:rPr>
          <w:noProof/>
          <w:lang w:eastAsia="pt-BR"/>
        </w:rPr>
        <w:drawing>
          <wp:inline distT="0" distB="0" distL="0" distR="0" wp14:anchorId="7BF5E592" wp14:editId="7B5D2662">
            <wp:extent cx="2424550" cy="4680000"/>
            <wp:effectExtent l="0" t="0" r="0" b="635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24550" cy="4680000"/>
                    </a:xfrm>
                    <a:prstGeom prst="rect">
                      <a:avLst/>
                    </a:prstGeom>
                    <a:noFill/>
                    <a:ln>
                      <a:noFill/>
                    </a:ln>
                  </pic:spPr>
                </pic:pic>
              </a:graphicData>
            </a:graphic>
          </wp:inline>
        </w:drawing>
      </w:r>
    </w:p>
    <w:p w14:paraId="045EBA7B" w14:textId="77777777" w:rsidR="006E18B8" w:rsidRDefault="006E18B8" w:rsidP="006E18B8">
      <w:pPr>
        <w:sectPr w:rsidR="006E18B8" w:rsidSect="00F3091D">
          <w:type w:val="continuous"/>
          <w:pgSz w:w="16838" w:h="11906" w:orient="landscape"/>
          <w:pgMar w:top="1701" w:right="1134" w:bottom="1134" w:left="1417" w:header="708" w:footer="708" w:gutter="0"/>
          <w:cols w:num="3" w:space="34"/>
          <w:docGrid w:linePitch="360"/>
        </w:sectPr>
      </w:pPr>
    </w:p>
    <w:p w14:paraId="4124C611" w14:textId="5B573E45" w:rsidR="006E18B8" w:rsidRDefault="006E18B8" w:rsidP="006E18B8">
      <w:pPr>
        <w:pStyle w:val="Legenda"/>
        <w:keepNext/>
      </w:pPr>
      <w:bookmarkStart w:id="29" w:name="_Ref41820763"/>
      <w:bookmarkStart w:id="30" w:name="_Toc46992139"/>
      <w:r>
        <w:lastRenderedPageBreak/>
        <w:t xml:space="preserve">Figura </w:t>
      </w:r>
      <w:bookmarkStart w:id="31" w:name="Fig_agua_MT_nao_conform_Ba_Mn_Fe"/>
      <w:r>
        <w:fldChar w:fldCharType="begin"/>
      </w:r>
      <w:r>
        <w:instrText xml:space="preserve"> SEQ Figura \* ARABIC </w:instrText>
      </w:r>
      <w:r>
        <w:fldChar w:fldCharType="separate"/>
      </w:r>
      <w:r w:rsidR="002C014F">
        <w:rPr>
          <w:noProof/>
        </w:rPr>
        <w:t>5</w:t>
      </w:r>
      <w:r>
        <w:rPr>
          <w:noProof/>
        </w:rPr>
        <w:fldChar w:fldCharType="end"/>
      </w:r>
      <w:bookmarkEnd w:id="29"/>
      <w:bookmarkEnd w:id="31"/>
      <w:r>
        <w:t xml:space="preserve"> -</w:t>
      </w:r>
      <w:r w:rsidR="00CA56D5">
        <w:t xml:space="preserve"> </w:t>
      </w:r>
      <w:r w:rsidRPr="00B04C2B">
        <w:t xml:space="preserve">Variabilidade por ambiente para </w:t>
      </w:r>
      <w:r>
        <w:t>Ba</w:t>
      </w:r>
      <w:r w:rsidRPr="00B04C2B">
        <w:t xml:space="preserve">, </w:t>
      </w:r>
      <w:r>
        <w:t>Mn</w:t>
      </w:r>
      <w:r w:rsidRPr="00B04C2B">
        <w:t xml:space="preserve"> e </w:t>
      </w:r>
      <w:r>
        <w:t>Fe</w:t>
      </w:r>
      <w:r w:rsidRPr="00B04C2B">
        <w:t>. em água no parâmetro de metais totais</w:t>
      </w:r>
      <w:bookmarkEnd w:id="30"/>
    </w:p>
    <w:p w14:paraId="3ACF5BA8" w14:textId="77777777" w:rsidR="006E18B8" w:rsidRDefault="006E18B8" w:rsidP="006E18B8">
      <w:pPr>
        <w:jc w:val="center"/>
        <w:sectPr w:rsidR="006E18B8" w:rsidSect="00F3091D">
          <w:pgSz w:w="16838" w:h="11906" w:orient="landscape"/>
          <w:pgMar w:top="1701" w:right="1134" w:bottom="1134" w:left="1417" w:header="680" w:footer="567" w:gutter="0"/>
          <w:cols w:space="708"/>
          <w:docGrid w:linePitch="360"/>
        </w:sectPr>
      </w:pPr>
    </w:p>
    <w:p w14:paraId="3FFC21EF" w14:textId="77777777" w:rsidR="006E18B8" w:rsidRDefault="006E18B8" w:rsidP="006E18B8">
      <w:r w:rsidRPr="00EB25F4">
        <w:rPr>
          <w:noProof/>
          <w:lang w:eastAsia="pt-BR"/>
        </w:rPr>
        <w:drawing>
          <wp:inline distT="0" distB="0" distL="0" distR="0" wp14:anchorId="5D9182F6" wp14:editId="7A321994">
            <wp:extent cx="2424907" cy="4680000"/>
            <wp:effectExtent l="0" t="0" r="0" b="635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24907" cy="4680000"/>
                    </a:xfrm>
                    <a:prstGeom prst="rect">
                      <a:avLst/>
                    </a:prstGeom>
                    <a:noFill/>
                    <a:ln>
                      <a:noFill/>
                    </a:ln>
                  </pic:spPr>
                </pic:pic>
              </a:graphicData>
            </a:graphic>
          </wp:inline>
        </w:drawing>
      </w:r>
      <w:r>
        <w:br w:type="column"/>
      </w:r>
      <w:r w:rsidRPr="000A0EF4">
        <w:rPr>
          <w:noProof/>
          <w:lang w:eastAsia="pt-BR"/>
        </w:rPr>
        <w:drawing>
          <wp:inline distT="0" distB="0" distL="0" distR="0" wp14:anchorId="4144DBE1" wp14:editId="715C3BD1">
            <wp:extent cx="2424906" cy="4680000"/>
            <wp:effectExtent l="0" t="0" r="0" b="635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24906" cy="4680000"/>
                    </a:xfrm>
                    <a:prstGeom prst="rect">
                      <a:avLst/>
                    </a:prstGeom>
                    <a:noFill/>
                    <a:ln>
                      <a:noFill/>
                    </a:ln>
                  </pic:spPr>
                </pic:pic>
              </a:graphicData>
            </a:graphic>
          </wp:inline>
        </w:drawing>
      </w:r>
      <w:r>
        <w:br w:type="column"/>
      </w:r>
      <w:r w:rsidRPr="002479D5">
        <w:rPr>
          <w:noProof/>
          <w:lang w:eastAsia="pt-BR"/>
        </w:rPr>
        <w:drawing>
          <wp:inline distT="0" distB="0" distL="0" distR="0" wp14:anchorId="6043E910" wp14:editId="0D02CB84">
            <wp:extent cx="2424906" cy="4680000"/>
            <wp:effectExtent l="0" t="0" r="0" b="635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24906" cy="4680000"/>
                    </a:xfrm>
                    <a:prstGeom prst="rect">
                      <a:avLst/>
                    </a:prstGeom>
                    <a:noFill/>
                    <a:ln>
                      <a:noFill/>
                    </a:ln>
                  </pic:spPr>
                </pic:pic>
              </a:graphicData>
            </a:graphic>
          </wp:inline>
        </w:drawing>
      </w:r>
    </w:p>
    <w:p w14:paraId="46AEA8DD" w14:textId="77777777" w:rsidR="006E18B8" w:rsidRDefault="006E18B8" w:rsidP="006E18B8">
      <w:pPr>
        <w:sectPr w:rsidR="006E18B8" w:rsidSect="00F3091D">
          <w:type w:val="continuous"/>
          <w:pgSz w:w="16838" w:h="11906" w:orient="landscape"/>
          <w:pgMar w:top="1701" w:right="1134" w:bottom="1134" w:left="1417" w:header="708" w:footer="708" w:gutter="0"/>
          <w:cols w:num="3" w:space="33"/>
          <w:docGrid w:linePitch="360"/>
        </w:sectPr>
      </w:pPr>
    </w:p>
    <w:p w14:paraId="3590F45D" w14:textId="46A25D7E" w:rsidR="006E18B8" w:rsidRDefault="006E18B8" w:rsidP="005C2856">
      <w:pPr>
        <w:ind w:firstLine="708"/>
        <w:rPr>
          <w:rFonts w:cstheme="minorHAnsi"/>
        </w:rPr>
      </w:pPr>
      <w:r>
        <w:rPr>
          <w:rFonts w:cstheme="minorHAnsi"/>
        </w:rPr>
        <w:lastRenderedPageBreak/>
        <w:t>No que diz respeito às não conformidades, os elementos As, Cd, Hg, Ni, U e Zn não apresentaram valores de concentrações maiores que seus respectivos limites tanto para CONAMA classe 2 quanto par</w:t>
      </w:r>
      <w:r w:rsidR="00114016">
        <w:rPr>
          <w:rFonts w:cstheme="minorHAnsi"/>
        </w:rPr>
        <w:t>a</w:t>
      </w:r>
      <w:r>
        <w:rPr>
          <w:rFonts w:cstheme="minorHAnsi"/>
        </w:rPr>
        <w:t xml:space="preserve"> NOAA crônico durante todo o período </w:t>
      </w:r>
      <w:r w:rsidR="00114016">
        <w:rPr>
          <w:rFonts w:cstheme="minorHAnsi"/>
        </w:rPr>
        <w:t>estudado até agora pelo PMBA</w:t>
      </w:r>
      <w:r>
        <w:rPr>
          <w:rFonts w:cstheme="minorHAnsi"/>
        </w:rPr>
        <w:t xml:space="preserve">. Para Al, Fe e Cu não existem valores referência segundo CONAMA classe 2 e para </w:t>
      </w:r>
      <w:r w:rsidRPr="00C9154E">
        <w:rPr>
          <w:rFonts w:cstheme="minorHAnsi"/>
        </w:rPr>
        <w:t>Cr apesar de não existir valor limite para NOAA crônico, este não apresenta amostras não conformes segundo CONAMA. Se comparado ao CONAMA, apenas Mn apresenta amostras não conformes durante todo o PBMA</w:t>
      </w:r>
      <w:r>
        <w:rPr>
          <w:rFonts w:cstheme="minorHAnsi"/>
        </w:rPr>
        <w:t xml:space="preserve">, como mostra a </w:t>
      </w:r>
      <w:r>
        <w:rPr>
          <w:rFonts w:cstheme="minorHAnsi"/>
        </w:rPr>
        <w:fldChar w:fldCharType="begin"/>
      </w:r>
      <w:r>
        <w:rPr>
          <w:rFonts w:cstheme="minorHAnsi"/>
        </w:rPr>
        <w:instrText xml:space="preserve"> REF _Ref41819800 \h </w:instrText>
      </w:r>
      <w:r>
        <w:rPr>
          <w:rFonts w:cstheme="minorHAnsi"/>
        </w:rPr>
      </w:r>
      <w:r>
        <w:rPr>
          <w:rFonts w:cstheme="minorHAnsi"/>
        </w:rPr>
        <w:fldChar w:fldCharType="separate"/>
      </w:r>
      <w:r w:rsidR="002C014F">
        <w:t xml:space="preserve">Tabela </w:t>
      </w:r>
      <w:r w:rsidR="002C014F">
        <w:rPr>
          <w:noProof/>
        </w:rPr>
        <w:t>2</w:t>
      </w:r>
      <w:r>
        <w:rPr>
          <w:rFonts w:cstheme="minorHAnsi"/>
        </w:rPr>
        <w:fldChar w:fldCharType="end"/>
      </w:r>
      <w:r>
        <w:rPr>
          <w:rFonts w:cstheme="minorHAnsi"/>
        </w:rPr>
        <w:t>, e que no período de transição passou a</w:t>
      </w:r>
      <w:r w:rsidR="00114016">
        <w:rPr>
          <w:rFonts w:cstheme="minorHAnsi"/>
        </w:rPr>
        <w:t xml:space="preserve"> </w:t>
      </w:r>
      <w:r>
        <w:rPr>
          <w:rFonts w:cstheme="minorHAnsi"/>
        </w:rPr>
        <w:t>se ter amostras não conformes para o Pb</w:t>
      </w:r>
      <w:r w:rsidR="00114016">
        <w:rPr>
          <w:rFonts w:cstheme="minorHAnsi"/>
        </w:rPr>
        <w:t>, o que é preocupante</w:t>
      </w:r>
      <w:r>
        <w:rPr>
          <w:rFonts w:cstheme="minorHAnsi"/>
        </w:rPr>
        <w:t xml:space="preserve">. É possível perceber pela </w:t>
      </w:r>
      <w:r>
        <w:rPr>
          <w:rFonts w:cstheme="minorHAnsi"/>
        </w:rPr>
        <w:fldChar w:fldCharType="begin"/>
      </w:r>
      <w:r>
        <w:rPr>
          <w:rFonts w:cstheme="minorHAnsi"/>
        </w:rPr>
        <w:instrText xml:space="preserve"> REF _Ref41820285 \h </w:instrText>
      </w:r>
      <w:r>
        <w:rPr>
          <w:rFonts w:cstheme="minorHAnsi"/>
        </w:rPr>
      </w:r>
      <w:r>
        <w:rPr>
          <w:rFonts w:cstheme="minorHAnsi"/>
        </w:rPr>
        <w:fldChar w:fldCharType="separate"/>
      </w:r>
      <w:r w:rsidR="002C014F">
        <w:t xml:space="preserve">Figura </w:t>
      </w:r>
      <w:r w:rsidR="002C014F">
        <w:rPr>
          <w:noProof/>
        </w:rPr>
        <w:t>4</w:t>
      </w:r>
      <w:r>
        <w:rPr>
          <w:rFonts w:cstheme="minorHAnsi"/>
        </w:rPr>
        <w:fldChar w:fldCharType="end"/>
      </w:r>
      <w:r>
        <w:rPr>
          <w:rFonts w:cstheme="minorHAnsi"/>
        </w:rPr>
        <w:t xml:space="preserve"> que essas não conformidades foram observadas apenas no Rio Guandu, apesar d</w:t>
      </w:r>
      <w:r w:rsidR="00114016">
        <w:rPr>
          <w:rFonts w:cstheme="minorHAnsi"/>
        </w:rPr>
        <w:t>e ter ocorrido</w:t>
      </w:r>
      <w:r>
        <w:rPr>
          <w:rFonts w:cstheme="minorHAnsi"/>
        </w:rPr>
        <w:t xml:space="preserve"> aumento de concentração para todos os ambientes, como discutido anteriormente. Além disso, é possível observar pela </w:t>
      </w:r>
      <w:r>
        <w:rPr>
          <w:rFonts w:cstheme="minorHAnsi"/>
        </w:rPr>
        <w:fldChar w:fldCharType="begin"/>
      </w:r>
      <w:r>
        <w:rPr>
          <w:rFonts w:cstheme="minorHAnsi"/>
        </w:rPr>
        <w:instrText xml:space="preserve"> REF _Ref41819427 \h </w:instrText>
      </w:r>
      <w:r>
        <w:rPr>
          <w:rFonts w:cstheme="minorHAnsi"/>
        </w:rPr>
      </w:r>
      <w:r>
        <w:rPr>
          <w:rFonts w:cstheme="minorHAnsi"/>
        </w:rPr>
        <w:fldChar w:fldCharType="separate"/>
      </w:r>
      <w:r w:rsidR="002C014F">
        <w:t xml:space="preserve">Tabela </w:t>
      </w:r>
      <w:r w:rsidR="002C014F">
        <w:rPr>
          <w:noProof/>
        </w:rPr>
        <w:t>3</w:t>
      </w:r>
      <w:r>
        <w:rPr>
          <w:rFonts w:cstheme="minorHAnsi"/>
        </w:rPr>
        <w:fldChar w:fldCharType="end"/>
      </w:r>
      <w:r>
        <w:rPr>
          <w:rFonts w:cstheme="minorHAnsi"/>
        </w:rPr>
        <w:t xml:space="preserve"> e </w:t>
      </w:r>
      <w:r>
        <w:rPr>
          <w:rFonts w:cstheme="minorHAnsi"/>
        </w:rPr>
        <w:fldChar w:fldCharType="begin"/>
      </w:r>
      <w:r>
        <w:rPr>
          <w:rFonts w:cstheme="minorHAnsi"/>
        </w:rPr>
        <w:instrText xml:space="preserve"> REF _Ref41820285 \h </w:instrText>
      </w:r>
      <w:r>
        <w:rPr>
          <w:rFonts w:cstheme="minorHAnsi"/>
        </w:rPr>
      </w:r>
      <w:r>
        <w:rPr>
          <w:rFonts w:cstheme="minorHAnsi"/>
        </w:rPr>
        <w:fldChar w:fldCharType="separate"/>
      </w:r>
      <w:r w:rsidR="002C014F">
        <w:t xml:space="preserve">Figura </w:t>
      </w:r>
      <w:r w:rsidR="002C014F">
        <w:rPr>
          <w:noProof/>
        </w:rPr>
        <w:t>4</w:t>
      </w:r>
      <w:r>
        <w:rPr>
          <w:rFonts w:cstheme="minorHAnsi"/>
        </w:rPr>
        <w:fldChar w:fldCharType="end"/>
      </w:r>
      <w:r>
        <w:rPr>
          <w:rFonts w:cstheme="minorHAnsi"/>
        </w:rPr>
        <w:t xml:space="preserve"> que as não conformidades segundo NOAA crônico ocorrem em maior frequência no período mais chuvoso e que no período mais seco</w:t>
      </w:r>
      <w:r w:rsidR="00114016">
        <w:rPr>
          <w:rFonts w:cstheme="minorHAnsi"/>
        </w:rPr>
        <w:t>,</w:t>
      </w:r>
      <w:r>
        <w:rPr>
          <w:rFonts w:cstheme="minorHAnsi"/>
        </w:rPr>
        <w:t xml:space="preserve"> apenas amostras consideradas outliers apresentaram não conformidades.</w:t>
      </w:r>
    </w:p>
    <w:p w14:paraId="14FB519B" w14:textId="160CFC66" w:rsidR="006E18B8" w:rsidRDefault="006E18B8" w:rsidP="005C2856">
      <w:pPr>
        <w:ind w:firstLine="708"/>
        <w:rPr>
          <w:rFonts w:cstheme="minorHAnsi"/>
        </w:rPr>
      </w:pPr>
      <w:r>
        <w:rPr>
          <w:rFonts w:cstheme="minorHAnsi"/>
        </w:rPr>
        <w:t xml:space="preserve">Já os elementos Ba e Co, estão conformes apenas para os limites estabelecidos pelo CONAMA classe 2, tendo percentual de amostras fora de especificação segundo NOAA crônico, como apresenta a </w:t>
      </w:r>
      <w:r>
        <w:rPr>
          <w:rFonts w:cstheme="minorHAnsi"/>
        </w:rPr>
        <w:fldChar w:fldCharType="begin"/>
      </w:r>
      <w:r>
        <w:rPr>
          <w:rFonts w:cstheme="minorHAnsi"/>
        </w:rPr>
        <w:instrText xml:space="preserve"> REF _Ref41819427 \h </w:instrText>
      </w:r>
      <w:r>
        <w:rPr>
          <w:rFonts w:cstheme="minorHAnsi"/>
        </w:rPr>
      </w:r>
      <w:r>
        <w:rPr>
          <w:rFonts w:cstheme="minorHAnsi"/>
        </w:rPr>
        <w:fldChar w:fldCharType="separate"/>
      </w:r>
      <w:r w:rsidR="002C014F">
        <w:t xml:space="preserve">Tabela </w:t>
      </w:r>
      <w:r w:rsidR="002C014F">
        <w:rPr>
          <w:noProof/>
        </w:rPr>
        <w:t>3</w:t>
      </w:r>
      <w:r>
        <w:rPr>
          <w:rFonts w:cstheme="minorHAnsi"/>
        </w:rPr>
        <w:fldChar w:fldCharType="end"/>
      </w:r>
      <w:r>
        <w:rPr>
          <w:rFonts w:cstheme="minorHAnsi"/>
        </w:rPr>
        <w:t xml:space="preserve">. Para o Ba, todas as amostras estão acima do limite NOAA crônico, como apresenta a </w:t>
      </w:r>
      <w:r>
        <w:rPr>
          <w:rFonts w:cstheme="minorHAnsi"/>
        </w:rPr>
        <w:fldChar w:fldCharType="begin"/>
      </w:r>
      <w:r>
        <w:rPr>
          <w:rFonts w:cstheme="minorHAnsi"/>
        </w:rPr>
        <w:instrText xml:space="preserve"> REF _Ref41820763 \h </w:instrText>
      </w:r>
      <w:r>
        <w:rPr>
          <w:rFonts w:cstheme="minorHAnsi"/>
        </w:rPr>
      </w:r>
      <w:r>
        <w:rPr>
          <w:rFonts w:cstheme="minorHAnsi"/>
        </w:rPr>
        <w:fldChar w:fldCharType="separate"/>
      </w:r>
      <w:r w:rsidR="002C014F">
        <w:t xml:space="preserve">Figura </w:t>
      </w:r>
      <w:r w:rsidR="002C014F">
        <w:rPr>
          <w:noProof/>
        </w:rPr>
        <w:t>5</w:t>
      </w:r>
      <w:r>
        <w:rPr>
          <w:rFonts w:cstheme="minorHAnsi"/>
        </w:rPr>
        <w:fldChar w:fldCharType="end"/>
      </w:r>
      <w:r>
        <w:rPr>
          <w:rFonts w:cstheme="minorHAnsi"/>
        </w:rPr>
        <w:t xml:space="preserve">. Para o Cu, observa-se no geral um comportamento de elevado aumento de não conformidades no período de seca, como apresenta a </w:t>
      </w:r>
      <w:r>
        <w:rPr>
          <w:rFonts w:cstheme="minorHAnsi"/>
        </w:rPr>
        <w:fldChar w:fldCharType="begin"/>
      </w:r>
      <w:r>
        <w:rPr>
          <w:rFonts w:cstheme="minorHAnsi"/>
        </w:rPr>
        <w:instrText xml:space="preserve"> REF _Ref41819427 \h </w:instrText>
      </w:r>
      <w:r>
        <w:rPr>
          <w:rFonts w:cstheme="minorHAnsi"/>
        </w:rPr>
      </w:r>
      <w:r>
        <w:rPr>
          <w:rFonts w:cstheme="minorHAnsi"/>
        </w:rPr>
        <w:fldChar w:fldCharType="separate"/>
      </w:r>
      <w:r w:rsidR="002C014F">
        <w:t xml:space="preserve">Tabela </w:t>
      </w:r>
      <w:r w:rsidR="002C014F">
        <w:rPr>
          <w:noProof/>
        </w:rPr>
        <w:t>3</w:t>
      </w:r>
      <w:r>
        <w:rPr>
          <w:rFonts w:cstheme="minorHAnsi"/>
        </w:rPr>
        <w:fldChar w:fldCharType="end"/>
      </w:r>
      <w:r w:rsidR="00114016">
        <w:rPr>
          <w:rFonts w:cstheme="minorHAnsi"/>
        </w:rPr>
        <w:t>, além disto,</w:t>
      </w:r>
      <w:r>
        <w:rPr>
          <w:rFonts w:cstheme="minorHAnsi"/>
        </w:rPr>
        <w:t xml:space="preserve"> </w:t>
      </w:r>
      <w:r w:rsidR="00114016">
        <w:rPr>
          <w:rFonts w:cstheme="minorHAnsi"/>
        </w:rPr>
        <w:t>pelos dados da</w:t>
      </w:r>
      <w:r>
        <w:rPr>
          <w:rFonts w:cstheme="minorHAnsi"/>
        </w:rPr>
        <w:t xml:space="preserve"> </w:t>
      </w:r>
      <w:r>
        <w:rPr>
          <w:rFonts w:cstheme="minorHAnsi"/>
        </w:rPr>
        <w:fldChar w:fldCharType="begin"/>
      </w:r>
      <w:r>
        <w:rPr>
          <w:rFonts w:cstheme="minorHAnsi"/>
        </w:rPr>
        <w:instrText xml:space="preserve"> REF _Ref41820285 \h </w:instrText>
      </w:r>
      <w:r>
        <w:rPr>
          <w:rFonts w:cstheme="minorHAnsi"/>
        </w:rPr>
      </w:r>
      <w:r>
        <w:rPr>
          <w:rFonts w:cstheme="minorHAnsi"/>
        </w:rPr>
        <w:fldChar w:fldCharType="separate"/>
      </w:r>
      <w:r w:rsidR="002C014F">
        <w:t xml:space="preserve">Figura </w:t>
      </w:r>
      <w:r w:rsidR="002C014F">
        <w:rPr>
          <w:noProof/>
        </w:rPr>
        <w:t>4</w:t>
      </w:r>
      <w:r>
        <w:rPr>
          <w:rFonts w:cstheme="minorHAnsi"/>
        </w:rPr>
        <w:fldChar w:fldCharType="end"/>
      </w:r>
      <w:r w:rsidR="00114016">
        <w:rPr>
          <w:rFonts w:cstheme="minorHAnsi"/>
        </w:rPr>
        <w:t>,</w:t>
      </w:r>
      <w:r>
        <w:rPr>
          <w:rFonts w:cstheme="minorHAnsi"/>
        </w:rPr>
        <w:t xml:space="preserve"> percebe-se </w:t>
      </w:r>
      <w:r w:rsidR="00114016">
        <w:rPr>
          <w:rFonts w:cstheme="minorHAnsi"/>
        </w:rPr>
        <w:t>que o</w:t>
      </w:r>
      <w:r>
        <w:rPr>
          <w:rFonts w:cstheme="minorHAnsi"/>
        </w:rPr>
        <w:t xml:space="preserve"> Rio Doce e </w:t>
      </w:r>
      <w:r w:rsidR="00114016">
        <w:rPr>
          <w:rFonts w:cstheme="minorHAnsi"/>
        </w:rPr>
        <w:t>as</w:t>
      </w:r>
      <w:r>
        <w:rPr>
          <w:rFonts w:cstheme="minorHAnsi"/>
        </w:rPr>
        <w:t xml:space="preserve"> </w:t>
      </w:r>
      <w:r w:rsidR="00114016">
        <w:rPr>
          <w:rFonts w:cstheme="minorHAnsi"/>
        </w:rPr>
        <w:t>L</w:t>
      </w:r>
      <w:r>
        <w:rPr>
          <w:rFonts w:cstheme="minorHAnsi"/>
        </w:rPr>
        <w:t>agoas são os maiores contribuintes para este comportamento.</w:t>
      </w:r>
    </w:p>
    <w:p w14:paraId="0876552B" w14:textId="6802552F" w:rsidR="006E18B8" w:rsidRDefault="006E18B8" w:rsidP="005C2856">
      <w:pPr>
        <w:ind w:firstLine="708"/>
      </w:pPr>
      <w:r>
        <w:t>O elemento Fe apresenta valor limite estabelecido apenas pelo NOAA. Conforme apresenta</w:t>
      </w:r>
      <w:r w:rsidR="00C60AA1">
        <w:t>do n</w:t>
      </w:r>
      <w:r>
        <w:t xml:space="preserve">a </w:t>
      </w:r>
      <w:r>
        <w:fldChar w:fldCharType="begin"/>
      </w:r>
      <w:r>
        <w:instrText xml:space="preserve"> REF _Ref41819427 \h </w:instrText>
      </w:r>
      <w:r>
        <w:fldChar w:fldCharType="separate"/>
      </w:r>
      <w:r w:rsidR="002C014F">
        <w:t xml:space="preserve">Tabela </w:t>
      </w:r>
      <w:r w:rsidR="002C014F">
        <w:rPr>
          <w:noProof/>
        </w:rPr>
        <w:t>3</w:t>
      </w:r>
      <w:r>
        <w:fldChar w:fldCharType="end"/>
      </w:r>
      <w:r>
        <w:t xml:space="preserve">, as não conformidades para Fe são elevadas desde o início do PMBA estando acima de 60%. Além disso, percebe-se que no período de seca há um aumento de 25% de amostras não conformes. Já pela </w:t>
      </w:r>
      <w:r>
        <w:fldChar w:fldCharType="begin"/>
      </w:r>
      <w:r>
        <w:instrText xml:space="preserve"> REF _Ref41820763 \h </w:instrText>
      </w:r>
      <w:r>
        <w:fldChar w:fldCharType="separate"/>
      </w:r>
      <w:r w:rsidR="002C014F">
        <w:t xml:space="preserve">Figura </w:t>
      </w:r>
      <w:r w:rsidR="002C014F">
        <w:rPr>
          <w:noProof/>
        </w:rPr>
        <w:t>5</w:t>
      </w:r>
      <w:r>
        <w:fldChar w:fldCharType="end"/>
      </w:r>
      <w:r>
        <w:t>, observa-se que todas as amostras do Rio Guandu estavam não conformes para todo o período do PMBA e que este comportamento foi observado para o Rio Doce no período de transição.</w:t>
      </w:r>
    </w:p>
    <w:p w14:paraId="6FD42329" w14:textId="77777777" w:rsidR="006E18B8" w:rsidRDefault="006E18B8">
      <w:pPr>
        <w:spacing w:before="0" w:line="259" w:lineRule="auto"/>
        <w:jc w:val="left"/>
      </w:pPr>
      <w:r>
        <w:br w:type="page"/>
      </w:r>
    </w:p>
    <w:p w14:paraId="3EAE0C64" w14:textId="79E0AB11" w:rsidR="006E18B8" w:rsidRDefault="00C60AA1" w:rsidP="005C2856">
      <w:pPr>
        <w:ind w:firstLine="708"/>
      </w:pPr>
      <w:r>
        <w:lastRenderedPageBreak/>
        <w:t>Comparando-se os resultados com dados pretéritos gerados pelo IEMA para o Rio Doce e já discutidos no relatório do Ano 1 do PMBA, pode-se dizer que a</w:t>
      </w:r>
      <w:r w:rsidR="006E18B8">
        <w:t>s concentrações obtidas no período de transição</w:t>
      </w:r>
      <w:r>
        <w:t xml:space="preserve"> também foram mais elevadas que os valores encontrados </w:t>
      </w:r>
      <w:r w:rsidR="006E18B8">
        <w:t xml:space="preserve"> pelo IEMA </w:t>
      </w:r>
      <w:r w:rsidR="006E18B8" w:rsidRPr="00391DB5">
        <w:rPr>
          <w:rFonts w:cs="Arial"/>
          <w:szCs w:val="20"/>
        </w:rPr>
        <w:t>no período de 09/11/2015 a 18/11/2015</w:t>
      </w:r>
      <w:r w:rsidR="006E18B8">
        <w:rPr>
          <w:rFonts w:cs="Arial"/>
          <w:szCs w:val="20"/>
        </w:rPr>
        <w:t xml:space="preserve"> (</w:t>
      </w:r>
      <w:r w:rsidR="006E18B8">
        <w:t xml:space="preserve">após o rompimento da barragem, mas antes da passagem da pluma). Esses elementos se referem ao Cr, V, Zn, Ba e Mn para o parâmetro de </w:t>
      </w:r>
      <w:proofErr w:type="spellStart"/>
      <w:r w:rsidR="006E18B8">
        <w:t>água</w:t>
      </w:r>
      <w:r>
        <w:t>-</w:t>
      </w:r>
      <w:r w:rsidR="006E18B8">
        <w:t>metais</w:t>
      </w:r>
      <w:proofErr w:type="spellEnd"/>
      <w:r w:rsidR="006E18B8">
        <w:t xml:space="preserve"> totais e seus teores percentuais estão apresentados na </w:t>
      </w:r>
      <w:r w:rsidR="006E18B8">
        <w:fldChar w:fldCharType="begin"/>
      </w:r>
      <w:r w:rsidR="006E18B8">
        <w:instrText xml:space="preserve"> REF _Ref41906350 \h </w:instrText>
      </w:r>
      <w:r w:rsidR="006E18B8">
        <w:fldChar w:fldCharType="separate"/>
      </w:r>
      <w:r w:rsidR="002C014F">
        <w:t xml:space="preserve">Tabela </w:t>
      </w:r>
      <w:r w:rsidR="002C014F">
        <w:rPr>
          <w:noProof/>
        </w:rPr>
        <w:t>4</w:t>
      </w:r>
      <w:r w:rsidR="006E18B8">
        <w:fldChar w:fldCharType="end"/>
      </w:r>
    </w:p>
    <w:p w14:paraId="3FB98A52" w14:textId="1D7F715C" w:rsidR="006E18B8" w:rsidRDefault="006E18B8" w:rsidP="006E18B8">
      <w:pPr>
        <w:pStyle w:val="Legenda"/>
        <w:keepNext/>
      </w:pPr>
      <w:bookmarkStart w:id="32" w:name="_Ref41906350"/>
      <w:bookmarkStart w:id="33" w:name="_Toc46992179"/>
      <w:r>
        <w:t xml:space="preserve">Tabela </w:t>
      </w:r>
      <w:fldSimple w:instr=" SEQ Tabela \* ARABIC ">
        <w:r w:rsidR="002C014F">
          <w:rPr>
            <w:noProof/>
          </w:rPr>
          <w:t>4</w:t>
        </w:r>
      </w:fldSimple>
      <w:bookmarkEnd w:id="32"/>
      <w:r>
        <w:t xml:space="preserve"> - Concentrações de alguns elementos na água para o parâmetro metais totais segundo IEMA e PMBA</w:t>
      </w:r>
      <w:r w:rsidR="00C60AA1">
        <w:t xml:space="preserve">  para o Rio Doce</w:t>
      </w:r>
      <w:bookmarkEnd w:id="33"/>
    </w:p>
    <w:tbl>
      <w:tblPr>
        <w:tblStyle w:val="Tabelacomgrade"/>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2"/>
        <w:gridCol w:w="1386"/>
        <w:gridCol w:w="1382"/>
        <w:gridCol w:w="2355"/>
        <w:gridCol w:w="2596"/>
      </w:tblGrid>
      <w:tr w:rsidR="00C9154E" w:rsidRPr="006E18B8" w14:paraId="14558C83" w14:textId="77777777" w:rsidTr="007E1E90">
        <w:trPr>
          <w:tblHeader/>
          <w:jc w:val="center"/>
        </w:trPr>
        <w:tc>
          <w:tcPr>
            <w:tcW w:w="745" w:type="pct"/>
            <w:tcBorders>
              <w:top w:val="single" w:sz="4" w:space="0" w:color="auto"/>
              <w:bottom w:val="single" w:sz="4" w:space="0" w:color="auto"/>
            </w:tcBorders>
            <w:vAlign w:val="center"/>
          </w:tcPr>
          <w:p w14:paraId="4BFC331F" w14:textId="77777777" w:rsidR="00C9154E" w:rsidRPr="006E18B8" w:rsidRDefault="00C9154E" w:rsidP="006E18B8">
            <w:pPr>
              <w:spacing w:before="0"/>
              <w:jc w:val="center"/>
              <w:rPr>
                <w:b/>
                <w:bCs/>
              </w:rPr>
            </w:pPr>
            <w:r w:rsidRPr="006E18B8">
              <w:rPr>
                <w:b/>
                <w:bCs/>
              </w:rPr>
              <w:t>Elemento</w:t>
            </w:r>
          </w:p>
        </w:tc>
        <w:tc>
          <w:tcPr>
            <w:tcW w:w="764" w:type="pct"/>
            <w:tcBorders>
              <w:top w:val="single" w:sz="4" w:space="0" w:color="auto"/>
              <w:bottom w:val="single" w:sz="4" w:space="0" w:color="auto"/>
            </w:tcBorders>
            <w:vAlign w:val="center"/>
          </w:tcPr>
          <w:p w14:paraId="2542031B" w14:textId="0B96ECE1" w:rsidR="00C9154E" w:rsidRPr="006E18B8" w:rsidRDefault="00C9154E" w:rsidP="006E18B8">
            <w:pPr>
              <w:spacing w:before="0"/>
              <w:jc w:val="center"/>
              <w:rPr>
                <w:b/>
                <w:bCs/>
              </w:rPr>
            </w:pPr>
            <w:r w:rsidRPr="006E18B8">
              <w:rPr>
                <w:b/>
                <w:bCs/>
              </w:rPr>
              <w:t>IEMA</w:t>
            </w:r>
            <w:r>
              <w:rPr>
                <w:b/>
                <w:bCs/>
              </w:rPr>
              <w:t xml:space="preserve"> </w:t>
            </w:r>
          </w:p>
          <w:p w14:paraId="707DEA4A" w14:textId="77777777" w:rsidR="00C9154E" w:rsidRPr="006E18B8" w:rsidRDefault="00C9154E" w:rsidP="006E18B8">
            <w:pPr>
              <w:spacing w:before="0"/>
              <w:jc w:val="center"/>
              <w:rPr>
                <w:b/>
                <w:bCs/>
              </w:rPr>
            </w:pPr>
            <w:r w:rsidRPr="006E18B8">
              <w:rPr>
                <w:b/>
                <w:bCs/>
              </w:rPr>
              <w:t>(</w:t>
            </w:r>
            <w:proofErr w:type="spellStart"/>
            <w:r w:rsidRPr="006E18B8">
              <w:rPr>
                <w:b/>
                <w:bCs/>
              </w:rPr>
              <w:t>nov</w:t>
            </w:r>
            <w:proofErr w:type="spellEnd"/>
            <w:r w:rsidRPr="006E18B8">
              <w:rPr>
                <w:b/>
                <w:bCs/>
              </w:rPr>
              <w:t>/15)</w:t>
            </w:r>
          </w:p>
          <w:p w14:paraId="2991FDAA" w14:textId="77777777" w:rsidR="00C9154E" w:rsidRPr="006E18B8" w:rsidRDefault="00C9154E" w:rsidP="006E18B8">
            <w:pPr>
              <w:spacing w:before="0"/>
              <w:jc w:val="center"/>
              <w:rPr>
                <w:b/>
                <w:bCs/>
              </w:rPr>
            </w:pPr>
            <w:r w:rsidRPr="006E18B8">
              <w:rPr>
                <w:b/>
                <w:bCs/>
              </w:rPr>
              <w:t>(µg L</w:t>
            </w:r>
            <w:r w:rsidRPr="006E18B8">
              <w:rPr>
                <w:b/>
                <w:bCs/>
                <w:vertAlign w:val="superscript"/>
              </w:rPr>
              <w:t>-1</w:t>
            </w:r>
            <w:r w:rsidRPr="006E18B8">
              <w:rPr>
                <w:b/>
                <w:bCs/>
              </w:rPr>
              <w:t>)</w:t>
            </w:r>
          </w:p>
        </w:tc>
        <w:tc>
          <w:tcPr>
            <w:tcW w:w="762" w:type="pct"/>
            <w:tcBorders>
              <w:top w:val="single" w:sz="4" w:space="0" w:color="auto"/>
              <w:bottom w:val="single" w:sz="4" w:space="0" w:color="auto"/>
            </w:tcBorders>
          </w:tcPr>
          <w:p w14:paraId="321D52C8" w14:textId="79445280" w:rsidR="00C9154E" w:rsidRPr="006E18B8" w:rsidRDefault="00C9154E" w:rsidP="00C9154E">
            <w:pPr>
              <w:spacing w:before="0"/>
              <w:jc w:val="center"/>
              <w:rPr>
                <w:b/>
                <w:bCs/>
              </w:rPr>
            </w:pPr>
            <w:r>
              <w:rPr>
                <w:b/>
                <w:bCs/>
              </w:rPr>
              <w:t>PMBA</w:t>
            </w:r>
          </w:p>
          <w:p w14:paraId="29FDA3C4" w14:textId="2CA9DD2E" w:rsidR="00C9154E" w:rsidRPr="006E18B8" w:rsidRDefault="00C9154E" w:rsidP="00C9154E">
            <w:pPr>
              <w:spacing w:before="0"/>
              <w:jc w:val="center"/>
              <w:rPr>
                <w:b/>
                <w:bCs/>
              </w:rPr>
            </w:pPr>
            <w:r w:rsidRPr="006E18B8">
              <w:rPr>
                <w:b/>
                <w:bCs/>
              </w:rPr>
              <w:t>(</w:t>
            </w:r>
            <w:r>
              <w:rPr>
                <w:b/>
                <w:bCs/>
              </w:rPr>
              <w:t>ano1</w:t>
            </w:r>
            <w:r w:rsidRPr="006E18B8">
              <w:rPr>
                <w:b/>
                <w:bCs/>
              </w:rPr>
              <w:t>)</w:t>
            </w:r>
          </w:p>
          <w:p w14:paraId="74525396" w14:textId="02805945" w:rsidR="00C9154E" w:rsidRPr="006E18B8" w:rsidRDefault="00C9154E" w:rsidP="00C9154E">
            <w:pPr>
              <w:spacing w:before="0"/>
              <w:jc w:val="center"/>
              <w:rPr>
                <w:b/>
                <w:bCs/>
              </w:rPr>
            </w:pPr>
            <w:r w:rsidRPr="006E18B8">
              <w:rPr>
                <w:b/>
                <w:bCs/>
              </w:rPr>
              <w:t>(µg L</w:t>
            </w:r>
            <w:r w:rsidRPr="006E18B8">
              <w:rPr>
                <w:b/>
                <w:bCs/>
                <w:vertAlign w:val="superscript"/>
              </w:rPr>
              <w:t>-1</w:t>
            </w:r>
            <w:r w:rsidRPr="006E18B8">
              <w:rPr>
                <w:b/>
                <w:bCs/>
              </w:rPr>
              <w:t>)</w:t>
            </w:r>
          </w:p>
        </w:tc>
        <w:tc>
          <w:tcPr>
            <w:tcW w:w="1298" w:type="pct"/>
            <w:tcBorders>
              <w:top w:val="single" w:sz="4" w:space="0" w:color="auto"/>
              <w:bottom w:val="single" w:sz="4" w:space="0" w:color="auto"/>
            </w:tcBorders>
            <w:vAlign w:val="center"/>
          </w:tcPr>
          <w:p w14:paraId="60BD2212" w14:textId="3BCAAF63" w:rsidR="00C9154E" w:rsidRPr="006E18B8" w:rsidRDefault="00C9154E" w:rsidP="006E18B8">
            <w:pPr>
              <w:spacing w:before="0"/>
              <w:jc w:val="center"/>
              <w:rPr>
                <w:b/>
                <w:bCs/>
              </w:rPr>
            </w:pPr>
            <w:r w:rsidRPr="006E18B8">
              <w:rPr>
                <w:b/>
                <w:bCs/>
              </w:rPr>
              <w:t>PMBA</w:t>
            </w:r>
            <w:r w:rsidR="007E1E90">
              <w:rPr>
                <w:b/>
                <w:bCs/>
              </w:rPr>
              <w:t>-Transição</w:t>
            </w:r>
          </w:p>
          <w:p w14:paraId="52D0F909" w14:textId="77777777" w:rsidR="00C9154E" w:rsidRPr="006E18B8" w:rsidRDefault="00C9154E" w:rsidP="006E18B8">
            <w:pPr>
              <w:spacing w:before="0"/>
              <w:jc w:val="center"/>
              <w:rPr>
                <w:b/>
                <w:bCs/>
              </w:rPr>
            </w:pPr>
            <w:r w:rsidRPr="006E18B8">
              <w:rPr>
                <w:b/>
                <w:bCs/>
              </w:rPr>
              <w:t>(</w:t>
            </w:r>
            <w:proofErr w:type="spellStart"/>
            <w:r w:rsidRPr="006E18B8">
              <w:rPr>
                <w:b/>
                <w:bCs/>
              </w:rPr>
              <w:t>nov</w:t>
            </w:r>
            <w:proofErr w:type="spellEnd"/>
            <w:r w:rsidRPr="006E18B8">
              <w:rPr>
                <w:b/>
                <w:bCs/>
              </w:rPr>
              <w:t xml:space="preserve">/19 a </w:t>
            </w:r>
            <w:proofErr w:type="spellStart"/>
            <w:r w:rsidRPr="006E18B8">
              <w:rPr>
                <w:b/>
                <w:bCs/>
              </w:rPr>
              <w:t>fev</w:t>
            </w:r>
            <w:proofErr w:type="spellEnd"/>
            <w:r w:rsidRPr="006E18B8">
              <w:rPr>
                <w:b/>
                <w:bCs/>
              </w:rPr>
              <w:t>/20)</w:t>
            </w:r>
          </w:p>
          <w:p w14:paraId="35EEA8B5" w14:textId="77777777" w:rsidR="00C9154E" w:rsidRPr="006E18B8" w:rsidRDefault="00C9154E" w:rsidP="006E18B8">
            <w:pPr>
              <w:spacing w:before="0"/>
              <w:jc w:val="center"/>
              <w:rPr>
                <w:b/>
                <w:bCs/>
              </w:rPr>
            </w:pPr>
            <w:r w:rsidRPr="006E18B8">
              <w:rPr>
                <w:b/>
                <w:bCs/>
              </w:rPr>
              <w:t>(µg L</w:t>
            </w:r>
            <w:r w:rsidRPr="006E18B8">
              <w:rPr>
                <w:b/>
                <w:bCs/>
                <w:vertAlign w:val="superscript"/>
              </w:rPr>
              <w:t>-1</w:t>
            </w:r>
            <w:r w:rsidRPr="006E18B8">
              <w:rPr>
                <w:b/>
                <w:bCs/>
              </w:rPr>
              <w:t>)</w:t>
            </w:r>
          </w:p>
        </w:tc>
        <w:tc>
          <w:tcPr>
            <w:tcW w:w="1431" w:type="pct"/>
            <w:tcBorders>
              <w:top w:val="single" w:sz="4" w:space="0" w:color="auto"/>
              <w:bottom w:val="single" w:sz="4" w:space="0" w:color="auto"/>
            </w:tcBorders>
            <w:vAlign w:val="center"/>
          </w:tcPr>
          <w:p w14:paraId="1FCB0AD0" w14:textId="77777777" w:rsidR="00C9154E" w:rsidRPr="006E18B8" w:rsidRDefault="00C9154E" w:rsidP="006E18B8">
            <w:pPr>
              <w:spacing w:before="0"/>
              <w:jc w:val="center"/>
              <w:rPr>
                <w:b/>
                <w:bCs/>
              </w:rPr>
            </w:pPr>
            <w:r w:rsidRPr="006E18B8">
              <w:rPr>
                <w:b/>
                <w:bCs/>
              </w:rPr>
              <w:t>Diferença percentual</w:t>
            </w:r>
          </w:p>
          <w:p w14:paraId="4B6A85FC" w14:textId="246D7D0D" w:rsidR="00C9154E" w:rsidRPr="006E18B8" w:rsidRDefault="00C9154E" w:rsidP="006E18B8">
            <w:pPr>
              <w:spacing w:before="0"/>
              <w:jc w:val="center"/>
              <w:rPr>
                <w:b/>
                <w:bCs/>
              </w:rPr>
            </w:pPr>
            <w:r w:rsidRPr="006E18B8">
              <w:rPr>
                <w:b/>
                <w:bCs/>
              </w:rPr>
              <w:t>(PMBA</w:t>
            </w:r>
            <w:r w:rsidR="007E1E90">
              <w:rPr>
                <w:b/>
                <w:bCs/>
              </w:rPr>
              <w:t xml:space="preserve"> transição</w:t>
            </w:r>
            <w:r w:rsidRPr="006E18B8">
              <w:rPr>
                <w:b/>
                <w:bCs/>
              </w:rPr>
              <w:t>/IEMA)</w:t>
            </w:r>
          </w:p>
          <w:p w14:paraId="50A2E5C5" w14:textId="77777777" w:rsidR="00C9154E" w:rsidRPr="006E18B8" w:rsidRDefault="00C9154E" w:rsidP="006E18B8">
            <w:pPr>
              <w:spacing w:before="0"/>
              <w:jc w:val="center"/>
              <w:rPr>
                <w:b/>
                <w:bCs/>
              </w:rPr>
            </w:pPr>
            <w:r w:rsidRPr="006E18B8">
              <w:rPr>
                <w:b/>
                <w:bCs/>
              </w:rPr>
              <w:t>(%)</w:t>
            </w:r>
          </w:p>
        </w:tc>
      </w:tr>
      <w:tr w:rsidR="00C9154E" w14:paraId="60896E26" w14:textId="77777777" w:rsidTr="007E1E90">
        <w:trPr>
          <w:jc w:val="center"/>
        </w:trPr>
        <w:tc>
          <w:tcPr>
            <w:tcW w:w="745" w:type="pct"/>
            <w:tcBorders>
              <w:top w:val="single" w:sz="4" w:space="0" w:color="auto"/>
            </w:tcBorders>
            <w:vAlign w:val="center"/>
          </w:tcPr>
          <w:p w14:paraId="30FC3E2E" w14:textId="77777777" w:rsidR="00C9154E" w:rsidRDefault="00C9154E" w:rsidP="006E18B8">
            <w:pPr>
              <w:spacing w:before="0"/>
              <w:jc w:val="center"/>
            </w:pPr>
            <w:r>
              <w:t>Ba</w:t>
            </w:r>
          </w:p>
        </w:tc>
        <w:tc>
          <w:tcPr>
            <w:tcW w:w="764" w:type="pct"/>
            <w:tcBorders>
              <w:top w:val="single" w:sz="4" w:space="0" w:color="auto"/>
            </w:tcBorders>
            <w:vAlign w:val="center"/>
          </w:tcPr>
          <w:p w14:paraId="57EA3437" w14:textId="77777777" w:rsidR="00C9154E" w:rsidRDefault="00C9154E" w:rsidP="006E18B8">
            <w:pPr>
              <w:spacing w:before="0"/>
              <w:jc w:val="center"/>
            </w:pPr>
            <w:r>
              <w:t>24,3</w:t>
            </w:r>
          </w:p>
        </w:tc>
        <w:tc>
          <w:tcPr>
            <w:tcW w:w="762" w:type="pct"/>
            <w:tcBorders>
              <w:top w:val="single" w:sz="4" w:space="0" w:color="auto"/>
            </w:tcBorders>
          </w:tcPr>
          <w:p w14:paraId="45500D21" w14:textId="131FB474" w:rsidR="00C9154E" w:rsidRDefault="00C9154E" w:rsidP="006E18B8">
            <w:pPr>
              <w:spacing w:before="0"/>
              <w:jc w:val="center"/>
            </w:pPr>
            <w:r>
              <w:t>38,2</w:t>
            </w:r>
          </w:p>
        </w:tc>
        <w:tc>
          <w:tcPr>
            <w:tcW w:w="1298" w:type="pct"/>
            <w:tcBorders>
              <w:top w:val="single" w:sz="4" w:space="0" w:color="auto"/>
            </w:tcBorders>
            <w:vAlign w:val="center"/>
          </w:tcPr>
          <w:p w14:paraId="4EE20316" w14:textId="155DAA04" w:rsidR="00C9154E" w:rsidRDefault="00C9154E" w:rsidP="006E18B8">
            <w:pPr>
              <w:spacing w:before="0"/>
              <w:jc w:val="center"/>
            </w:pPr>
            <w:r>
              <w:t>58,9</w:t>
            </w:r>
          </w:p>
        </w:tc>
        <w:tc>
          <w:tcPr>
            <w:tcW w:w="1431" w:type="pct"/>
            <w:tcBorders>
              <w:top w:val="single" w:sz="4" w:space="0" w:color="auto"/>
            </w:tcBorders>
            <w:vAlign w:val="center"/>
          </w:tcPr>
          <w:p w14:paraId="4F9D4C6A" w14:textId="77777777" w:rsidR="00C9154E" w:rsidRDefault="00C9154E" w:rsidP="006E18B8">
            <w:pPr>
              <w:spacing w:before="0"/>
              <w:jc w:val="center"/>
            </w:pPr>
            <w:r>
              <w:t>142%</w:t>
            </w:r>
          </w:p>
        </w:tc>
      </w:tr>
      <w:tr w:rsidR="00C9154E" w14:paraId="0B20292D" w14:textId="77777777" w:rsidTr="007E1E90">
        <w:trPr>
          <w:jc w:val="center"/>
        </w:trPr>
        <w:tc>
          <w:tcPr>
            <w:tcW w:w="745" w:type="pct"/>
            <w:vAlign w:val="center"/>
          </w:tcPr>
          <w:p w14:paraId="13539A60" w14:textId="77777777" w:rsidR="00C9154E" w:rsidRDefault="00C9154E" w:rsidP="006E18B8">
            <w:pPr>
              <w:spacing w:before="0"/>
              <w:jc w:val="center"/>
            </w:pPr>
            <w:r>
              <w:t>Cr</w:t>
            </w:r>
          </w:p>
        </w:tc>
        <w:tc>
          <w:tcPr>
            <w:tcW w:w="764" w:type="pct"/>
            <w:vAlign w:val="center"/>
          </w:tcPr>
          <w:p w14:paraId="0955FDF0" w14:textId="77777777" w:rsidR="00C9154E" w:rsidRDefault="00C9154E" w:rsidP="006E18B8">
            <w:pPr>
              <w:spacing w:before="0"/>
              <w:jc w:val="center"/>
            </w:pPr>
            <w:r>
              <w:t>1,1</w:t>
            </w:r>
          </w:p>
        </w:tc>
        <w:tc>
          <w:tcPr>
            <w:tcW w:w="762" w:type="pct"/>
          </w:tcPr>
          <w:p w14:paraId="4FAE0E5D" w14:textId="425A73D9" w:rsidR="00C9154E" w:rsidRDefault="00C9154E" w:rsidP="006E18B8">
            <w:pPr>
              <w:spacing w:before="0"/>
              <w:jc w:val="center"/>
            </w:pPr>
            <w:r>
              <w:t>3,0</w:t>
            </w:r>
          </w:p>
        </w:tc>
        <w:tc>
          <w:tcPr>
            <w:tcW w:w="1298" w:type="pct"/>
            <w:vAlign w:val="center"/>
          </w:tcPr>
          <w:p w14:paraId="42FBA858" w14:textId="2B14953D" w:rsidR="00C9154E" w:rsidRDefault="00C9154E" w:rsidP="006E18B8">
            <w:pPr>
              <w:spacing w:before="0"/>
              <w:jc w:val="center"/>
            </w:pPr>
            <w:r>
              <w:t>10,2</w:t>
            </w:r>
          </w:p>
        </w:tc>
        <w:tc>
          <w:tcPr>
            <w:tcW w:w="1431" w:type="pct"/>
            <w:vAlign w:val="center"/>
          </w:tcPr>
          <w:p w14:paraId="4B760EBC" w14:textId="77777777" w:rsidR="00C9154E" w:rsidRDefault="00C9154E" w:rsidP="006E18B8">
            <w:pPr>
              <w:spacing w:before="0"/>
              <w:jc w:val="center"/>
            </w:pPr>
            <w:r>
              <w:t>827%</w:t>
            </w:r>
          </w:p>
        </w:tc>
      </w:tr>
      <w:tr w:rsidR="00C9154E" w14:paraId="65519904" w14:textId="77777777" w:rsidTr="007E1E90">
        <w:trPr>
          <w:jc w:val="center"/>
        </w:trPr>
        <w:tc>
          <w:tcPr>
            <w:tcW w:w="745" w:type="pct"/>
            <w:vAlign w:val="center"/>
          </w:tcPr>
          <w:p w14:paraId="6BD865E2" w14:textId="77777777" w:rsidR="00C9154E" w:rsidRDefault="00C9154E" w:rsidP="006E18B8">
            <w:pPr>
              <w:spacing w:before="0"/>
              <w:jc w:val="center"/>
            </w:pPr>
            <w:r>
              <w:t>Mn</w:t>
            </w:r>
          </w:p>
        </w:tc>
        <w:tc>
          <w:tcPr>
            <w:tcW w:w="764" w:type="pct"/>
            <w:vAlign w:val="center"/>
          </w:tcPr>
          <w:p w14:paraId="67C97454" w14:textId="77777777" w:rsidR="00C9154E" w:rsidRDefault="00C9154E" w:rsidP="006E18B8">
            <w:pPr>
              <w:spacing w:before="0"/>
              <w:jc w:val="center"/>
            </w:pPr>
            <w:r>
              <w:t>38,3</w:t>
            </w:r>
          </w:p>
        </w:tc>
        <w:tc>
          <w:tcPr>
            <w:tcW w:w="762" w:type="pct"/>
          </w:tcPr>
          <w:p w14:paraId="725E1025" w14:textId="231B1E08" w:rsidR="00C9154E" w:rsidRDefault="00C9154E" w:rsidP="006E18B8">
            <w:pPr>
              <w:spacing w:before="0"/>
              <w:jc w:val="center"/>
            </w:pPr>
            <w:r>
              <w:t>36,1</w:t>
            </w:r>
          </w:p>
        </w:tc>
        <w:tc>
          <w:tcPr>
            <w:tcW w:w="1298" w:type="pct"/>
            <w:vAlign w:val="center"/>
          </w:tcPr>
          <w:p w14:paraId="3680A3A4" w14:textId="6369F161" w:rsidR="00C9154E" w:rsidRDefault="00C9154E" w:rsidP="006E18B8">
            <w:pPr>
              <w:spacing w:before="0"/>
              <w:jc w:val="center"/>
            </w:pPr>
            <w:r>
              <w:t>95,2</w:t>
            </w:r>
          </w:p>
        </w:tc>
        <w:tc>
          <w:tcPr>
            <w:tcW w:w="1431" w:type="pct"/>
            <w:vAlign w:val="center"/>
          </w:tcPr>
          <w:p w14:paraId="00129E5A" w14:textId="77777777" w:rsidR="00C9154E" w:rsidRDefault="00C9154E" w:rsidP="006E18B8">
            <w:pPr>
              <w:spacing w:before="0"/>
              <w:jc w:val="center"/>
            </w:pPr>
            <w:r>
              <w:t>149%</w:t>
            </w:r>
          </w:p>
        </w:tc>
      </w:tr>
      <w:tr w:rsidR="00C9154E" w14:paraId="69833F16" w14:textId="77777777" w:rsidTr="007E1E90">
        <w:trPr>
          <w:jc w:val="center"/>
        </w:trPr>
        <w:tc>
          <w:tcPr>
            <w:tcW w:w="745" w:type="pct"/>
            <w:vAlign w:val="center"/>
          </w:tcPr>
          <w:p w14:paraId="066822BF" w14:textId="77777777" w:rsidR="00C9154E" w:rsidRDefault="00C9154E" w:rsidP="006E18B8">
            <w:pPr>
              <w:spacing w:before="0"/>
              <w:jc w:val="center"/>
            </w:pPr>
            <w:r>
              <w:t>V</w:t>
            </w:r>
          </w:p>
        </w:tc>
        <w:tc>
          <w:tcPr>
            <w:tcW w:w="764" w:type="pct"/>
            <w:vAlign w:val="center"/>
          </w:tcPr>
          <w:p w14:paraId="6409B6E7" w14:textId="77777777" w:rsidR="00C9154E" w:rsidRDefault="00C9154E" w:rsidP="006E18B8">
            <w:pPr>
              <w:spacing w:before="0"/>
              <w:jc w:val="center"/>
            </w:pPr>
            <w:r>
              <w:t>3,9</w:t>
            </w:r>
          </w:p>
        </w:tc>
        <w:tc>
          <w:tcPr>
            <w:tcW w:w="762" w:type="pct"/>
          </w:tcPr>
          <w:p w14:paraId="5C79D9EE" w14:textId="625BD658" w:rsidR="00C9154E" w:rsidRDefault="00C9154E" w:rsidP="006E18B8">
            <w:pPr>
              <w:spacing w:before="0"/>
              <w:jc w:val="center"/>
            </w:pPr>
            <w:r>
              <w:t>4,6</w:t>
            </w:r>
          </w:p>
        </w:tc>
        <w:tc>
          <w:tcPr>
            <w:tcW w:w="1298" w:type="pct"/>
            <w:vAlign w:val="center"/>
          </w:tcPr>
          <w:p w14:paraId="63BA9AA0" w14:textId="1D9E4997" w:rsidR="00C9154E" w:rsidRDefault="00C9154E" w:rsidP="006E18B8">
            <w:pPr>
              <w:spacing w:before="0"/>
              <w:jc w:val="center"/>
            </w:pPr>
            <w:r>
              <w:t>13,2</w:t>
            </w:r>
          </w:p>
        </w:tc>
        <w:tc>
          <w:tcPr>
            <w:tcW w:w="1431" w:type="pct"/>
            <w:vAlign w:val="center"/>
          </w:tcPr>
          <w:p w14:paraId="08CADCBF" w14:textId="77777777" w:rsidR="00C9154E" w:rsidRDefault="00C9154E" w:rsidP="006E18B8">
            <w:pPr>
              <w:spacing w:before="0"/>
              <w:jc w:val="center"/>
            </w:pPr>
            <w:r>
              <w:t>238%</w:t>
            </w:r>
          </w:p>
        </w:tc>
      </w:tr>
      <w:tr w:rsidR="00C9154E" w14:paraId="1E703C53" w14:textId="77777777" w:rsidTr="007E1E90">
        <w:trPr>
          <w:jc w:val="center"/>
        </w:trPr>
        <w:tc>
          <w:tcPr>
            <w:tcW w:w="745" w:type="pct"/>
          </w:tcPr>
          <w:p w14:paraId="6B181591" w14:textId="77777777" w:rsidR="00C9154E" w:rsidRDefault="00C9154E" w:rsidP="006E18B8">
            <w:pPr>
              <w:spacing w:before="0"/>
              <w:jc w:val="center"/>
            </w:pPr>
            <w:r>
              <w:t>Zn</w:t>
            </w:r>
          </w:p>
        </w:tc>
        <w:tc>
          <w:tcPr>
            <w:tcW w:w="764" w:type="pct"/>
          </w:tcPr>
          <w:p w14:paraId="16004F11" w14:textId="77777777" w:rsidR="00C9154E" w:rsidRDefault="00C9154E" w:rsidP="006E18B8">
            <w:pPr>
              <w:spacing w:before="0"/>
              <w:jc w:val="center"/>
            </w:pPr>
            <w:r>
              <w:t>15,5</w:t>
            </w:r>
          </w:p>
        </w:tc>
        <w:tc>
          <w:tcPr>
            <w:tcW w:w="762" w:type="pct"/>
          </w:tcPr>
          <w:p w14:paraId="289240BD" w14:textId="077F6348" w:rsidR="00C9154E" w:rsidRDefault="00C9154E" w:rsidP="006E18B8">
            <w:pPr>
              <w:spacing w:before="0"/>
              <w:jc w:val="center"/>
            </w:pPr>
            <w:r>
              <w:t>14,2</w:t>
            </w:r>
          </w:p>
        </w:tc>
        <w:tc>
          <w:tcPr>
            <w:tcW w:w="1298" w:type="pct"/>
          </w:tcPr>
          <w:p w14:paraId="24E60E87" w14:textId="49AA6284" w:rsidR="00C9154E" w:rsidRDefault="00C9154E" w:rsidP="006E18B8">
            <w:pPr>
              <w:spacing w:before="0"/>
              <w:jc w:val="center"/>
            </w:pPr>
            <w:r>
              <w:t>21,7</w:t>
            </w:r>
          </w:p>
        </w:tc>
        <w:tc>
          <w:tcPr>
            <w:tcW w:w="1431" w:type="pct"/>
          </w:tcPr>
          <w:p w14:paraId="28C8123B" w14:textId="77777777" w:rsidR="00C9154E" w:rsidRDefault="00C9154E" w:rsidP="006E18B8">
            <w:pPr>
              <w:spacing w:before="0"/>
              <w:jc w:val="center"/>
            </w:pPr>
            <w:r>
              <w:t>40%</w:t>
            </w:r>
          </w:p>
        </w:tc>
      </w:tr>
    </w:tbl>
    <w:p w14:paraId="2FBE257C" w14:textId="2DD5CCEC" w:rsidR="006E18B8" w:rsidRDefault="00C60AA1" w:rsidP="006E18B8">
      <w:r>
        <w:tab/>
        <w:t>Estes resultados indicam que, com o período chuvoso</w:t>
      </w:r>
      <w:r w:rsidR="00C9154E">
        <w:t xml:space="preserve"> na transição</w:t>
      </w:r>
      <w:r w:rsidR="007E1E90">
        <w:t xml:space="preserve"> (</w:t>
      </w:r>
      <w:proofErr w:type="spellStart"/>
      <w:r w:rsidR="007E1E90">
        <w:t>nov</w:t>
      </w:r>
      <w:proofErr w:type="spellEnd"/>
      <w:r w:rsidR="007E1E90">
        <w:t xml:space="preserve">/19 a </w:t>
      </w:r>
      <w:proofErr w:type="spellStart"/>
      <w:r w:rsidR="007E1E90">
        <w:t>fev</w:t>
      </w:r>
      <w:proofErr w:type="spellEnd"/>
      <w:r w:rsidR="007E1E90">
        <w:t>/20)</w:t>
      </w:r>
      <w:r>
        <w:t>, houve lixiviação destes metais dos sedimentos para a água,</w:t>
      </w:r>
      <w:r w:rsidR="007E1E90">
        <w:t xml:space="preserve"> ocorrendo valores muito maiores que os determinados pelo IEMA para o Rio Doce antes da pluma. </w:t>
      </w:r>
      <w:r w:rsidR="007E1E90" w:rsidRPr="00D23D19">
        <w:rPr>
          <w:shd w:val="clear" w:color="auto" w:fill="FFFFFF" w:themeFill="background1"/>
        </w:rPr>
        <w:t xml:space="preserve">Estes resultados </w:t>
      </w:r>
      <w:r w:rsidR="00D23D19" w:rsidRPr="00D23D19">
        <w:rPr>
          <w:shd w:val="clear" w:color="auto" w:fill="FFFFFF" w:themeFill="background1"/>
        </w:rPr>
        <w:t>podem indicar um efeito</w:t>
      </w:r>
      <w:r w:rsidRPr="00D23D19">
        <w:rPr>
          <w:shd w:val="clear" w:color="auto" w:fill="FFFFFF" w:themeFill="background1"/>
        </w:rPr>
        <w:t xml:space="preserve"> </w:t>
      </w:r>
      <w:r w:rsidR="00D23D19" w:rsidRPr="00D23D19">
        <w:rPr>
          <w:shd w:val="clear" w:color="auto" w:fill="FFFFFF" w:themeFill="background1"/>
        </w:rPr>
        <w:t>do</w:t>
      </w:r>
      <w:r w:rsidRPr="00D23D19">
        <w:rPr>
          <w:shd w:val="clear" w:color="auto" w:fill="FFFFFF" w:themeFill="background1"/>
        </w:rPr>
        <w:t xml:space="preserve"> derramamento d</w:t>
      </w:r>
      <w:r w:rsidR="00D23D19" w:rsidRPr="00D23D19">
        <w:rPr>
          <w:shd w:val="clear" w:color="auto" w:fill="FFFFFF" w:themeFill="background1"/>
        </w:rPr>
        <w:t>o</w:t>
      </w:r>
      <w:r w:rsidRPr="00D23D19">
        <w:rPr>
          <w:shd w:val="clear" w:color="auto" w:fill="FFFFFF" w:themeFill="background1"/>
        </w:rPr>
        <w:t xml:space="preserve"> </w:t>
      </w:r>
      <w:r w:rsidR="00D23D19" w:rsidRPr="00D23D19">
        <w:rPr>
          <w:shd w:val="clear" w:color="auto" w:fill="FFFFFF" w:themeFill="background1"/>
        </w:rPr>
        <w:t>rejeito</w:t>
      </w:r>
      <w:r w:rsidRPr="00D23D19">
        <w:rPr>
          <w:shd w:val="clear" w:color="auto" w:fill="FFFFFF" w:themeFill="background1"/>
        </w:rPr>
        <w:t xml:space="preserve"> de Fundão neste rio</w:t>
      </w:r>
      <w:r w:rsidR="00D23D19">
        <w:rPr>
          <w:shd w:val="clear" w:color="auto" w:fill="FFFFFF" w:themeFill="background1"/>
        </w:rPr>
        <w:t>,</w:t>
      </w:r>
      <w:r w:rsidR="00D23D19" w:rsidRPr="00D23D19">
        <w:rPr>
          <w:shd w:val="clear" w:color="auto" w:fill="FFFFFF" w:themeFill="background1"/>
        </w:rPr>
        <w:t xml:space="preserve"> que aprese</w:t>
      </w:r>
      <w:r w:rsidR="00D23D19">
        <w:t xml:space="preserve">ntou em 2020 valores bem mais elevados para estes elementos, mesmo com grande chuva e arraste de inorgânicos pela calha em direção ao ambiente marinho. Novos estudos comparando estes indicadores em mesmas datas ou similares serão realizados, bem como espera-se trabalhar </w:t>
      </w:r>
    </w:p>
    <w:p w14:paraId="25E20C21" w14:textId="00E1047A" w:rsidR="001F1D5E" w:rsidRDefault="001E0F2D" w:rsidP="001E0F2D">
      <w:pPr>
        <w:pStyle w:val="Ttulo3"/>
      </w:pPr>
      <w:bookmarkStart w:id="34" w:name="_Toc46992116"/>
      <w:r>
        <w:t>Metais dissolvidos</w:t>
      </w:r>
      <w:bookmarkEnd w:id="34"/>
    </w:p>
    <w:p w14:paraId="20A84ECE" w14:textId="0C9D2FDE" w:rsidR="001E0F2D" w:rsidRDefault="001E0F2D" w:rsidP="005C2856">
      <w:pPr>
        <w:ind w:firstLine="708"/>
        <w:rPr>
          <w:rFonts w:cstheme="minorHAnsi"/>
        </w:rPr>
      </w:pPr>
      <w:r w:rsidRPr="00133BCE">
        <w:rPr>
          <w:rFonts w:cstheme="minorHAnsi"/>
        </w:rPr>
        <w:t xml:space="preserve">Na </w:t>
      </w:r>
      <w:r>
        <w:rPr>
          <w:rFonts w:cstheme="minorHAnsi"/>
        </w:rPr>
        <w:fldChar w:fldCharType="begin"/>
      </w:r>
      <w:r>
        <w:rPr>
          <w:rFonts w:cstheme="minorHAnsi"/>
        </w:rPr>
        <w:instrText xml:space="preserve"> REF _Ref42079929 \h </w:instrText>
      </w:r>
      <w:r>
        <w:rPr>
          <w:rFonts w:cstheme="minorHAnsi"/>
        </w:rPr>
      </w:r>
      <w:r>
        <w:rPr>
          <w:rFonts w:cstheme="minorHAnsi"/>
        </w:rPr>
        <w:fldChar w:fldCharType="separate"/>
      </w:r>
      <w:r w:rsidR="002C014F">
        <w:t xml:space="preserve">Tabela </w:t>
      </w:r>
      <w:r w:rsidR="002C014F">
        <w:rPr>
          <w:noProof/>
        </w:rPr>
        <w:t>5</w:t>
      </w:r>
      <w:r>
        <w:rPr>
          <w:rFonts w:cstheme="minorHAnsi"/>
        </w:rPr>
        <w:fldChar w:fldCharType="end"/>
      </w:r>
      <w:r>
        <w:rPr>
          <w:rFonts w:cstheme="minorHAnsi"/>
        </w:rPr>
        <w:t xml:space="preserve"> </w:t>
      </w:r>
      <w:r w:rsidRPr="00133BCE">
        <w:rPr>
          <w:rFonts w:cstheme="minorHAnsi"/>
        </w:rPr>
        <w:t xml:space="preserve">estão apresentadas as médias das concentrações para alguns elementos </w:t>
      </w:r>
      <w:r w:rsidR="007E1E90">
        <w:rPr>
          <w:rFonts w:cstheme="minorHAnsi"/>
        </w:rPr>
        <w:t xml:space="preserve">escolhidos como relevantes </w:t>
      </w:r>
      <w:r w:rsidRPr="00133BCE">
        <w:rPr>
          <w:rFonts w:cstheme="minorHAnsi"/>
        </w:rPr>
        <w:t>em água para o parâmetro de metais</w:t>
      </w:r>
      <w:r>
        <w:rPr>
          <w:rFonts w:cstheme="minorHAnsi"/>
        </w:rPr>
        <w:t xml:space="preserve"> dissolvidos</w:t>
      </w:r>
      <w:r w:rsidRPr="00133BCE">
        <w:rPr>
          <w:rFonts w:cstheme="minorHAnsi"/>
        </w:rPr>
        <w:t xml:space="preserve">. </w:t>
      </w:r>
      <w:r w:rsidR="007E1E90">
        <w:rPr>
          <w:rFonts w:cstheme="minorHAnsi"/>
        </w:rPr>
        <w:t>Serão considerados os valores p</w:t>
      </w:r>
      <w:r w:rsidRPr="00133BCE">
        <w:rPr>
          <w:rFonts w:cstheme="minorHAnsi"/>
        </w:rPr>
        <w:t>ara o ano 1 do PMBA, que compreende o período de outubro de 2018 e setembro de 2019, e para o período de transição, referente ao período de novembro de 2019 a fevereiro de 2020</w:t>
      </w:r>
      <w:r w:rsidR="007E1E90">
        <w:rPr>
          <w:rFonts w:cstheme="minorHAnsi"/>
        </w:rPr>
        <w:t>, visando análise comparativa</w:t>
      </w:r>
      <w:r w:rsidRPr="00133BCE">
        <w:rPr>
          <w:rFonts w:cstheme="minorHAnsi"/>
        </w:rPr>
        <w:t>.</w:t>
      </w:r>
    </w:p>
    <w:p w14:paraId="070D5216" w14:textId="77777777" w:rsidR="001E0F2D" w:rsidRDefault="001E0F2D">
      <w:pPr>
        <w:spacing w:before="0" w:line="259" w:lineRule="auto"/>
        <w:jc w:val="left"/>
        <w:rPr>
          <w:rFonts w:cstheme="minorHAnsi"/>
        </w:rPr>
      </w:pPr>
      <w:r>
        <w:rPr>
          <w:rFonts w:cstheme="minorHAnsi"/>
        </w:rPr>
        <w:br w:type="page"/>
      </w:r>
    </w:p>
    <w:p w14:paraId="0A5F6AB6" w14:textId="0926A283" w:rsidR="001E0F2D" w:rsidRDefault="001E0F2D" w:rsidP="001E0F2D">
      <w:pPr>
        <w:pStyle w:val="Legenda"/>
        <w:keepNext/>
      </w:pPr>
      <w:bookmarkStart w:id="35" w:name="_Ref42079929"/>
      <w:bookmarkStart w:id="36" w:name="_Toc46992180"/>
      <w:r>
        <w:lastRenderedPageBreak/>
        <w:t xml:space="preserve">Tabela </w:t>
      </w:r>
      <w:fldSimple w:instr=" SEQ Tabela \* ARABIC ">
        <w:r w:rsidR="002C014F">
          <w:rPr>
            <w:noProof/>
          </w:rPr>
          <w:t>5</w:t>
        </w:r>
      </w:fldSimple>
      <w:bookmarkEnd w:id="35"/>
      <w:r>
        <w:t xml:space="preserve"> </w:t>
      </w:r>
      <w:r w:rsidRPr="00856C30">
        <w:tab/>
        <w:t>Comparação das médias de concentrações em µg L</w:t>
      </w:r>
      <w:r w:rsidRPr="00133BCE">
        <w:rPr>
          <w:vertAlign w:val="superscript"/>
        </w:rPr>
        <w:t>-1</w:t>
      </w:r>
      <w:r w:rsidRPr="00856C30">
        <w:t xml:space="preserve"> para alguns elementos inorgânicos em água metais </w:t>
      </w:r>
      <w:r>
        <w:t>dissolvidos</w:t>
      </w:r>
      <w:bookmarkEnd w:id="36"/>
    </w:p>
    <w:tbl>
      <w:tblPr>
        <w:tblW w:w="5000"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1066"/>
        <w:gridCol w:w="1412"/>
        <w:gridCol w:w="1072"/>
        <w:gridCol w:w="689"/>
        <w:gridCol w:w="831"/>
        <w:gridCol w:w="1411"/>
        <w:gridCol w:w="1072"/>
        <w:gridCol w:w="689"/>
        <w:gridCol w:w="829"/>
      </w:tblGrid>
      <w:tr w:rsidR="001E0F2D" w:rsidRPr="001E0F2D" w14:paraId="0CC76593" w14:textId="77777777" w:rsidTr="001E0F2D">
        <w:trPr>
          <w:trHeight w:val="780"/>
          <w:tblHeader/>
          <w:jc w:val="center"/>
        </w:trPr>
        <w:tc>
          <w:tcPr>
            <w:tcW w:w="587" w:type="pct"/>
            <w:vMerge w:val="restart"/>
            <w:tcBorders>
              <w:top w:val="single" w:sz="4" w:space="0" w:color="auto"/>
              <w:bottom w:val="single" w:sz="4" w:space="0" w:color="auto"/>
            </w:tcBorders>
            <w:shd w:val="clear" w:color="auto" w:fill="auto"/>
            <w:noWrap/>
            <w:vAlign w:val="center"/>
            <w:hideMark/>
          </w:tcPr>
          <w:p w14:paraId="098D7B99" w14:textId="77777777" w:rsidR="001E0F2D" w:rsidRPr="001E0F2D" w:rsidRDefault="001E0F2D" w:rsidP="001E0F2D">
            <w:pPr>
              <w:spacing w:before="0" w:after="0"/>
              <w:jc w:val="center"/>
              <w:rPr>
                <w:rFonts w:ascii="Calibri" w:eastAsia="Times New Roman" w:hAnsi="Calibri" w:cs="Calibri"/>
                <w:b/>
                <w:bCs/>
                <w:color w:val="000000"/>
                <w:lang w:eastAsia="pt-BR"/>
              </w:rPr>
            </w:pPr>
            <w:r w:rsidRPr="001E0F2D">
              <w:rPr>
                <w:rFonts w:ascii="Calibri" w:eastAsia="Times New Roman" w:hAnsi="Calibri" w:cs="Calibri"/>
                <w:b/>
                <w:bCs/>
                <w:color w:val="000000"/>
                <w:lang w:eastAsia="pt-BR"/>
              </w:rPr>
              <w:t>Elemento</w:t>
            </w:r>
          </w:p>
        </w:tc>
        <w:tc>
          <w:tcPr>
            <w:tcW w:w="2207" w:type="pct"/>
            <w:gridSpan w:val="4"/>
            <w:tcBorders>
              <w:top w:val="single" w:sz="4" w:space="0" w:color="auto"/>
              <w:bottom w:val="single" w:sz="4" w:space="0" w:color="auto"/>
            </w:tcBorders>
            <w:shd w:val="clear" w:color="auto" w:fill="auto"/>
            <w:vAlign w:val="center"/>
            <w:hideMark/>
          </w:tcPr>
          <w:p w14:paraId="13CB47E5" w14:textId="77777777" w:rsidR="001E0F2D" w:rsidRPr="001E0F2D" w:rsidRDefault="001E0F2D" w:rsidP="001E0F2D">
            <w:pPr>
              <w:spacing w:before="0" w:after="0"/>
              <w:jc w:val="center"/>
              <w:rPr>
                <w:rFonts w:ascii="Calibri" w:eastAsia="Times New Roman" w:hAnsi="Calibri" w:cs="Calibri"/>
                <w:b/>
                <w:bCs/>
                <w:color w:val="000000"/>
                <w:lang w:eastAsia="pt-BR"/>
              </w:rPr>
            </w:pPr>
            <w:r w:rsidRPr="001E0F2D">
              <w:rPr>
                <w:rFonts w:ascii="Calibri" w:eastAsia="Times New Roman" w:hAnsi="Calibri" w:cs="Calibri"/>
                <w:b/>
                <w:bCs/>
                <w:color w:val="000000"/>
                <w:lang w:eastAsia="pt-BR"/>
              </w:rPr>
              <w:t>Ano 1</w:t>
            </w:r>
            <w:r w:rsidRPr="001E0F2D">
              <w:rPr>
                <w:rFonts w:ascii="Calibri" w:eastAsia="Times New Roman" w:hAnsi="Calibri" w:cs="Calibri"/>
                <w:b/>
                <w:bCs/>
                <w:color w:val="000000"/>
                <w:lang w:eastAsia="pt-BR"/>
              </w:rPr>
              <w:br/>
              <w:t>(out/2018 a set/19)</w:t>
            </w:r>
          </w:p>
        </w:tc>
        <w:tc>
          <w:tcPr>
            <w:tcW w:w="2206" w:type="pct"/>
            <w:gridSpan w:val="4"/>
            <w:tcBorders>
              <w:top w:val="single" w:sz="4" w:space="0" w:color="auto"/>
              <w:bottom w:val="single" w:sz="4" w:space="0" w:color="auto"/>
            </w:tcBorders>
            <w:shd w:val="clear" w:color="auto" w:fill="auto"/>
            <w:vAlign w:val="center"/>
            <w:hideMark/>
          </w:tcPr>
          <w:p w14:paraId="7891CF37" w14:textId="77777777" w:rsidR="001E0F2D" w:rsidRPr="001E0F2D" w:rsidRDefault="001E0F2D" w:rsidP="001E0F2D">
            <w:pPr>
              <w:spacing w:before="0" w:after="0"/>
              <w:jc w:val="center"/>
              <w:rPr>
                <w:rFonts w:ascii="Calibri" w:eastAsia="Times New Roman" w:hAnsi="Calibri" w:cs="Calibri"/>
                <w:b/>
                <w:bCs/>
                <w:color w:val="000000"/>
                <w:lang w:eastAsia="pt-BR"/>
              </w:rPr>
            </w:pPr>
            <w:r w:rsidRPr="001E0F2D">
              <w:rPr>
                <w:rFonts w:ascii="Calibri" w:eastAsia="Times New Roman" w:hAnsi="Calibri" w:cs="Calibri"/>
                <w:b/>
                <w:bCs/>
                <w:color w:val="000000"/>
                <w:lang w:eastAsia="pt-BR"/>
              </w:rPr>
              <w:t>Transição</w:t>
            </w:r>
            <w:r w:rsidRPr="001E0F2D">
              <w:rPr>
                <w:rFonts w:ascii="Calibri" w:eastAsia="Times New Roman" w:hAnsi="Calibri" w:cs="Calibri"/>
                <w:b/>
                <w:bCs/>
                <w:color w:val="000000"/>
                <w:lang w:eastAsia="pt-BR"/>
              </w:rPr>
              <w:br/>
              <w:t>(</w:t>
            </w:r>
            <w:proofErr w:type="spellStart"/>
            <w:r w:rsidRPr="001E0F2D">
              <w:rPr>
                <w:rFonts w:ascii="Calibri" w:eastAsia="Times New Roman" w:hAnsi="Calibri" w:cs="Calibri"/>
                <w:b/>
                <w:bCs/>
                <w:color w:val="000000"/>
                <w:lang w:eastAsia="pt-BR"/>
              </w:rPr>
              <w:t>nov</w:t>
            </w:r>
            <w:proofErr w:type="spellEnd"/>
            <w:r w:rsidRPr="001E0F2D">
              <w:rPr>
                <w:rFonts w:ascii="Calibri" w:eastAsia="Times New Roman" w:hAnsi="Calibri" w:cs="Calibri"/>
                <w:b/>
                <w:bCs/>
                <w:color w:val="000000"/>
                <w:lang w:eastAsia="pt-BR"/>
              </w:rPr>
              <w:t xml:space="preserve">/19 a </w:t>
            </w:r>
            <w:proofErr w:type="spellStart"/>
            <w:r w:rsidRPr="001E0F2D">
              <w:rPr>
                <w:rFonts w:ascii="Calibri" w:eastAsia="Times New Roman" w:hAnsi="Calibri" w:cs="Calibri"/>
                <w:b/>
                <w:bCs/>
                <w:color w:val="000000"/>
                <w:lang w:eastAsia="pt-BR"/>
              </w:rPr>
              <w:t>fev</w:t>
            </w:r>
            <w:proofErr w:type="spellEnd"/>
            <w:r w:rsidRPr="001E0F2D">
              <w:rPr>
                <w:rFonts w:ascii="Calibri" w:eastAsia="Times New Roman" w:hAnsi="Calibri" w:cs="Calibri"/>
                <w:b/>
                <w:bCs/>
                <w:color w:val="000000"/>
                <w:lang w:eastAsia="pt-BR"/>
              </w:rPr>
              <w:t>/20)</w:t>
            </w:r>
          </w:p>
        </w:tc>
      </w:tr>
      <w:tr w:rsidR="001E0F2D" w:rsidRPr="001E0F2D" w14:paraId="02524789" w14:textId="77777777" w:rsidTr="001E0F2D">
        <w:trPr>
          <w:trHeight w:val="300"/>
          <w:tblHeader/>
          <w:jc w:val="center"/>
        </w:trPr>
        <w:tc>
          <w:tcPr>
            <w:tcW w:w="587" w:type="pct"/>
            <w:vMerge/>
            <w:tcBorders>
              <w:top w:val="single" w:sz="4" w:space="0" w:color="auto"/>
              <w:bottom w:val="single" w:sz="4" w:space="0" w:color="auto"/>
            </w:tcBorders>
            <w:vAlign w:val="center"/>
            <w:hideMark/>
          </w:tcPr>
          <w:p w14:paraId="58905DCA" w14:textId="77777777" w:rsidR="001E0F2D" w:rsidRPr="001E0F2D" w:rsidRDefault="001E0F2D" w:rsidP="001E0F2D">
            <w:pPr>
              <w:spacing w:before="0" w:after="0"/>
              <w:rPr>
                <w:rFonts w:ascii="Calibri" w:eastAsia="Times New Roman" w:hAnsi="Calibri" w:cs="Calibri"/>
                <w:b/>
                <w:bCs/>
                <w:color w:val="000000"/>
                <w:lang w:eastAsia="pt-BR"/>
              </w:rPr>
            </w:pPr>
          </w:p>
        </w:tc>
        <w:tc>
          <w:tcPr>
            <w:tcW w:w="778" w:type="pct"/>
            <w:tcBorders>
              <w:top w:val="single" w:sz="4" w:space="0" w:color="auto"/>
              <w:bottom w:val="single" w:sz="4" w:space="0" w:color="auto"/>
            </w:tcBorders>
            <w:shd w:val="clear" w:color="auto" w:fill="auto"/>
            <w:noWrap/>
            <w:vAlign w:val="center"/>
            <w:hideMark/>
          </w:tcPr>
          <w:p w14:paraId="356B00B9" w14:textId="77777777" w:rsidR="001E0F2D" w:rsidRPr="001E0F2D" w:rsidRDefault="001E0F2D" w:rsidP="001E0F2D">
            <w:pPr>
              <w:spacing w:before="0" w:after="0"/>
              <w:jc w:val="center"/>
              <w:rPr>
                <w:rFonts w:ascii="Calibri" w:eastAsia="Times New Roman" w:hAnsi="Calibri" w:cs="Calibri"/>
                <w:b/>
                <w:bCs/>
                <w:color w:val="000000"/>
                <w:lang w:eastAsia="pt-BR"/>
              </w:rPr>
            </w:pPr>
            <w:r w:rsidRPr="001E0F2D">
              <w:rPr>
                <w:rFonts w:ascii="Calibri" w:eastAsia="Times New Roman" w:hAnsi="Calibri" w:cs="Calibri"/>
                <w:b/>
                <w:bCs/>
                <w:color w:val="000000"/>
                <w:lang w:eastAsia="pt-BR"/>
              </w:rPr>
              <w:t>Rio Guandu</w:t>
            </w:r>
          </w:p>
        </w:tc>
        <w:tc>
          <w:tcPr>
            <w:tcW w:w="591" w:type="pct"/>
            <w:tcBorders>
              <w:top w:val="single" w:sz="4" w:space="0" w:color="auto"/>
              <w:bottom w:val="single" w:sz="4" w:space="0" w:color="auto"/>
            </w:tcBorders>
            <w:shd w:val="clear" w:color="auto" w:fill="auto"/>
            <w:noWrap/>
            <w:vAlign w:val="center"/>
            <w:hideMark/>
          </w:tcPr>
          <w:p w14:paraId="65079A16" w14:textId="77777777" w:rsidR="001E0F2D" w:rsidRPr="001E0F2D" w:rsidRDefault="001E0F2D" w:rsidP="001E0F2D">
            <w:pPr>
              <w:spacing w:before="0" w:after="0"/>
              <w:jc w:val="center"/>
              <w:rPr>
                <w:rFonts w:ascii="Calibri" w:eastAsia="Times New Roman" w:hAnsi="Calibri" w:cs="Calibri"/>
                <w:b/>
                <w:bCs/>
                <w:color w:val="000000"/>
                <w:lang w:eastAsia="pt-BR"/>
              </w:rPr>
            </w:pPr>
            <w:r w:rsidRPr="001E0F2D">
              <w:rPr>
                <w:rFonts w:ascii="Calibri" w:eastAsia="Times New Roman" w:hAnsi="Calibri" w:cs="Calibri"/>
                <w:b/>
                <w:bCs/>
                <w:color w:val="000000"/>
                <w:lang w:eastAsia="pt-BR"/>
              </w:rPr>
              <w:t>Rio Doce</w:t>
            </w:r>
          </w:p>
        </w:tc>
        <w:tc>
          <w:tcPr>
            <w:tcW w:w="380" w:type="pct"/>
            <w:tcBorders>
              <w:top w:val="single" w:sz="4" w:space="0" w:color="auto"/>
              <w:bottom w:val="single" w:sz="4" w:space="0" w:color="auto"/>
            </w:tcBorders>
            <w:shd w:val="clear" w:color="auto" w:fill="auto"/>
            <w:noWrap/>
            <w:vAlign w:val="center"/>
            <w:hideMark/>
          </w:tcPr>
          <w:p w14:paraId="6FAF38DF" w14:textId="77777777" w:rsidR="001E0F2D" w:rsidRPr="001E0F2D" w:rsidRDefault="001E0F2D" w:rsidP="001E0F2D">
            <w:pPr>
              <w:spacing w:before="0" w:after="0"/>
              <w:jc w:val="center"/>
              <w:rPr>
                <w:rFonts w:ascii="Calibri" w:eastAsia="Times New Roman" w:hAnsi="Calibri" w:cs="Calibri"/>
                <w:b/>
                <w:bCs/>
                <w:color w:val="000000"/>
                <w:lang w:eastAsia="pt-BR"/>
              </w:rPr>
            </w:pPr>
            <w:r w:rsidRPr="001E0F2D">
              <w:rPr>
                <w:rFonts w:ascii="Calibri" w:eastAsia="Times New Roman" w:hAnsi="Calibri" w:cs="Calibri"/>
                <w:b/>
                <w:bCs/>
                <w:color w:val="000000"/>
                <w:lang w:eastAsia="pt-BR"/>
              </w:rPr>
              <w:t>Lagos</w:t>
            </w:r>
          </w:p>
        </w:tc>
        <w:tc>
          <w:tcPr>
            <w:tcW w:w="457" w:type="pct"/>
            <w:tcBorders>
              <w:top w:val="single" w:sz="4" w:space="0" w:color="auto"/>
              <w:bottom w:val="single" w:sz="4" w:space="0" w:color="auto"/>
            </w:tcBorders>
            <w:shd w:val="clear" w:color="auto" w:fill="auto"/>
            <w:noWrap/>
            <w:vAlign w:val="center"/>
            <w:hideMark/>
          </w:tcPr>
          <w:p w14:paraId="3025BF05" w14:textId="77777777" w:rsidR="001E0F2D" w:rsidRPr="001E0F2D" w:rsidRDefault="001E0F2D" w:rsidP="001E0F2D">
            <w:pPr>
              <w:spacing w:before="0" w:after="0"/>
              <w:jc w:val="center"/>
              <w:rPr>
                <w:rFonts w:ascii="Calibri" w:eastAsia="Times New Roman" w:hAnsi="Calibri" w:cs="Calibri"/>
                <w:b/>
                <w:bCs/>
                <w:color w:val="000000"/>
                <w:lang w:eastAsia="pt-BR"/>
              </w:rPr>
            </w:pPr>
            <w:r w:rsidRPr="001E0F2D">
              <w:rPr>
                <w:rFonts w:ascii="Calibri" w:eastAsia="Times New Roman" w:hAnsi="Calibri" w:cs="Calibri"/>
                <w:b/>
                <w:bCs/>
                <w:color w:val="000000"/>
                <w:lang w:eastAsia="pt-BR"/>
              </w:rPr>
              <w:t>Lagoas</w:t>
            </w:r>
          </w:p>
        </w:tc>
        <w:tc>
          <w:tcPr>
            <w:tcW w:w="778" w:type="pct"/>
            <w:tcBorders>
              <w:top w:val="single" w:sz="4" w:space="0" w:color="auto"/>
              <w:bottom w:val="single" w:sz="4" w:space="0" w:color="auto"/>
            </w:tcBorders>
            <w:shd w:val="clear" w:color="auto" w:fill="auto"/>
            <w:noWrap/>
            <w:vAlign w:val="center"/>
            <w:hideMark/>
          </w:tcPr>
          <w:p w14:paraId="331DEDF8" w14:textId="77777777" w:rsidR="001E0F2D" w:rsidRPr="001E0F2D" w:rsidRDefault="001E0F2D" w:rsidP="001E0F2D">
            <w:pPr>
              <w:spacing w:before="0" w:after="0"/>
              <w:jc w:val="center"/>
              <w:rPr>
                <w:rFonts w:ascii="Calibri" w:eastAsia="Times New Roman" w:hAnsi="Calibri" w:cs="Calibri"/>
                <w:b/>
                <w:bCs/>
                <w:color w:val="000000"/>
                <w:lang w:eastAsia="pt-BR"/>
              </w:rPr>
            </w:pPr>
            <w:r w:rsidRPr="001E0F2D">
              <w:rPr>
                <w:rFonts w:ascii="Calibri" w:eastAsia="Times New Roman" w:hAnsi="Calibri" w:cs="Calibri"/>
                <w:b/>
                <w:bCs/>
                <w:color w:val="000000"/>
                <w:lang w:eastAsia="pt-BR"/>
              </w:rPr>
              <w:t>Rio Guandu</w:t>
            </w:r>
          </w:p>
        </w:tc>
        <w:tc>
          <w:tcPr>
            <w:tcW w:w="591" w:type="pct"/>
            <w:tcBorders>
              <w:top w:val="single" w:sz="4" w:space="0" w:color="auto"/>
              <w:bottom w:val="single" w:sz="4" w:space="0" w:color="auto"/>
            </w:tcBorders>
            <w:shd w:val="clear" w:color="auto" w:fill="auto"/>
            <w:noWrap/>
            <w:vAlign w:val="center"/>
            <w:hideMark/>
          </w:tcPr>
          <w:p w14:paraId="1E3F240E" w14:textId="77777777" w:rsidR="001E0F2D" w:rsidRPr="001E0F2D" w:rsidRDefault="001E0F2D" w:rsidP="001E0F2D">
            <w:pPr>
              <w:spacing w:before="0" w:after="0"/>
              <w:jc w:val="center"/>
              <w:rPr>
                <w:rFonts w:ascii="Calibri" w:eastAsia="Times New Roman" w:hAnsi="Calibri" w:cs="Calibri"/>
                <w:b/>
                <w:bCs/>
                <w:color w:val="000000"/>
                <w:lang w:eastAsia="pt-BR"/>
              </w:rPr>
            </w:pPr>
            <w:r w:rsidRPr="001E0F2D">
              <w:rPr>
                <w:rFonts w:ascii="Calibri" w:eastAsia="Times New Roman" w:hAnsi="Calibri" w:cs="Calibri"/>
                <w:b/>
                <w:bCs/>
                <w:color w:val="000000"/>
                <w:lang w:eastAsia="pt-BR"/>
              </w:rPr>
              <w:t>Rio Doce</w:t>
            </w:r>
          </w:p>
        </w:tc>
        <w:tc>
          <w:tcPr>
            <w:tcW w:w="380" w:type="pct"/>
            <w:tcBorders>
              <w:top w:val="single" w:sz="4" w:space="0" w:color="auto"/>
              <w:bottom w:val="single" w:sz="4" w:space="0" w:color="auto"/>
            </w:tcBorders>
            <w:shd w:val="clear" w:color="auto" w:fill="auto"/>
            <w:noWrap/>
            <w:vAlign w:val="center"/>
            <w:hideMark/>
          </w:tcPr>
          <w:p w14:paraId="7756E235" w14:textId="77777777" w:rsidR="001E0F2D" w:rsidRPr="001E0F2D" w:rsidRDefault="001E0F2D" w:rsidP="001E0F2D">
            <w:pPr>
              <w:spacing w:before="0" w:after="0"/>
              <w:jc w:val="center"/>
              <w:rPr>
                <w:rFonts w:ascii="Calibri" w:eastAsia="Times New Roman" w:hAnsi="Calibri" w:cs="Calibri"/>
                <w:b/>
                <w:bCs/>
                <w:color w:val="000000"/>
                <w:lang w:eastAsia="pt-BR"/>
              </w:rPr>
            </w:pPr>
            <w:r w:rsidRPr="001E0F2D">
              <w:rPr>
                <w:rFonts w:ascii="Calibri" w:eastAsia="Times New Roman" w:hAnsi="Calibri" w:cs="Calibri"/>
                <w:b/>
                <w:bCs/>
                <w:color w:val="000000"/>
                <w:lang w:eastAsia="pt-BR"/>
              </w:rPr>
              <w:t>Lagos</w:t>
            </w:r>
          </w:p>
        </w:tc>
        <w:tc>
          <w:tcPr>
            <w:tcW w:w="456" w:type="pct"/>
            <w:tcBorders>
              <w:top w:val="single" w:sz="4" w:space="0" w:color="auto"/>
              <w:bottom w:val="single" w:sz="4" w:space="0" w:color="auto"/>
            </w:tcBorders>
            <w:shd w:val="clear" w:color="auto" w:fill="auto"/>
            <w:noWrap/>
            <w:vAlign w:val="center"/>
            <w:hideMark/>
          </w:tcPr>
          <w:p w14:paraId="5B310323" w14:textId="77777777" w:rsidR="001E0F2D" w:rsidRPr="001E0F2D" w:rsidRDefault="001E0F2D" w:rsidP="001E0F2D">
            <w:pPr>
              <w:spacing w:before="0" w:after="0"/>
              <w:jc w:val="center"/>
              <w:rPr>
                <w:rFonts w:ascii="Calibri" w:eastAsia="Times New Roman" w:hAnsi="Calibri" w:cs="Calibri"/>
                <w:b/>
                <w:bCs/>
                <w:color w:val="000000"/>
                <w:lang w:eastAsia="pt-BR"/>
              </w:rPr>
            </w:pPr>
            <w:r w:rsidRPr="001E0F2D">
              <w:rPr>
                <w:rFonts w:ascii="Calibri" w:eastAsia="Times New Roman" w:hAnsi="Calibri" w:cs="Calibri"/>
                <w:b/>
                <w:bCs/>
                <w:color w:val="000000"/>
                <w:lang w:eastAsia="pt-BR"/>
              </w:rPr>
              <w:t>Lagoas</w:t>
            </w:r>
          </w:p>
        </w:tc>
      </w:tr>
      <w:tr w:rsidR="001E0F2D" w:rsidRPr="00596D34" w14:paraId="216AF689" w14:textId="77777777" w:rsidTr="00B94B38">
        <w:trPr>
          <w:trHeight w:val="300"/>
          <w:jc w:val="center"/>
        </w:trPr>
        <w:tc>
          <w:tcPr>
            <w:tcW w:w="587" w:type="pct"/>
            <w:tcBorders>
              <w:top w:val="single" w:sz="4" w:space="0" w:color="auto"/>
            </w:tcBorders>
            <w:shd w:val="clear" w:color="auto" w:fill="auto"/>
            <w:noWrap/>
            <w:vAlign w:val="center"/>
            <w:hideMark/>
          </w:tcPr>
          <w:p w14:paraId="298F02E0"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Al</w:t>
            </w:r>
          </w:p>
        </w:tc>
        <w:tc>
          <w:tcPr>
            <w:tcW w:w="778" w:type="pct"/>
            <w:tcBorders>
              <w:top w:val="single" w:sz="4" w:space="0" w:color="auto"/>
            </w:tcBorders>
            <w:shd w:val="clear" w:color="auto" w:fill="auto"/>
            <w:noWrap/>
            <w:vAlign w:val="center"/>
            <w:hideMark/>
          </w:tcPr>
          <w:p w14:paraId="6E6E1661"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39,4</w:t>
            </w:r>
          </w:p>
        </w:tc>
        <w:tc>
          <w:tcPr>
            <w:tcW w:w="591" w:type="pct"/>
            <w:tcBorders>
              <w:top w:val="single" w:sz="4" w:space="0" w:color="auto"/>
            </w:tcBorders>
            <w:shd w:val="clear" w:color="auto" w:fill="auto"/>
            <w:noWrap/>
            <w:vAlign w:val="center"/>
            <w:hideMark/>
          </w:tcPr>
          <w:p w14:paraId="105D7144"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33,9</w:t>
            </w:r>
          </w:p>
        </w:tc>
        <w:tc>
          <w:tcPr>
            <w:tcW w:w="380" w:type="pct"/>
            <w:tcBorders>
              <w:top w:val="single" w:sz="4" w:space="0" w:color="auto"/>
            </w:tcBorders>
            <w:shd w:val="clear" w:color="auto" w:fill="auto"/>
            <w:noWrap/>
            <w:vAlign w:val="center"/>
            <w:hideMark/>
          </w:tcPr>
          <w:p w14:paraId="6BCEF213"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20,4</w:t>
            </w:r>
          </w:p>
        </w:tc>
        <w:tc>
          <w:tcPr>
            <w:tcW w:w="457" w:type="pct"/>
            <w:tcBorders>
              <w:top w:val="single" w:sz="4" w:space="0" w:color="auto"/>
            </w:tcBorders>
            <w:shd w:val="clear" w:color="auto" w:fill="auto"/>
            <w:noWrap/>
            <w:vAlign w:val="center"/>
            <w:hideMark/>
          </w:tcPr>
          <w:p w14:paraId="7D29C1D4"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35,9</w:t>
            </w:r>
          </w:p>
        </w:tc>
        <w:tc>
          <w:tcPr>
            <w:tcW w:w="778" w:type="pct"/>
            <w:tcBorders>
              <w:top w:val="single" w:sz="4" w:space="0" w:color="auto"/>
            </w:tcBorders>
            <w:shd w:val="clear" w:color="auto" w:fill="auto"/>
            <w:noWrap/>
            <w:vAlign w:val="center"/>
            <w:hideMark/>
          </w:tcPr>
          <w:p w14:paraId="45FDD6D4" w14:textId="77777777" w:rsidR="001E0F2D" w:rsidRPr="00596D34" w:rsidRDefault="001E0F2D" w:rsidP="001E0F2D">
            <w:pPr>
              <w:spacing w:before="0" w:after="0"/>
              <w:jc w:val="center"/>
              <w:rPr>
                <w:rFonts w:ascii="Calibri" w:eastAsia="Times New Roman" w:hAnsi="Calibri" w:cs="Calibri"/>
                <w:color w:val="000000"/>
                <w:lang w:eastAsia="pt-BR"/>
              </w:rPr>
            </w:pPr>
          </w:p>
        </w:tc>
        <w:tc>
          <w:tcPr>
            <w:tcW w:w="591" w:type="pct"/>
            <w:tcBorders>
              <w:top w:val="single" w:sz="4" w:space="0" w:color="auto"/>
            </w:tcBorders>
            <w:shd w:val="clear" w:color="auto" w:fill="auto"/>
            <w:noWrap/>
            <w:vAlign w:val="center"/>
            <w:hideMark/>
          </w:tcPr>
          <w:p w14:paraId="362763C0" w14:textId="77777777" w:rsidR="001E0F2D" w:rsidRPr="00596D34" w:rsidRDefault="001E0F2D" w:rsidP="001E0F2D">
            <w:pPr>
              <w:spacing w:before="0" w:after="0"/>
              <w:jc w:val="center"/>
              <w:rPr>
                <w:rFonts w:ascii="Times New Roman" w:eastAsia="Times New Roman" w:hAnsi="Times New Roman" w:cs="Times New Roman"/>
                <w:szCs w:val="20"/>
                <w:lang w:eastAsia="pt-BR"/>
              </w:rPr>
            </w:pPr>
          </w:p>
        </w:tc>
        <w:tc>
          <w:tcPr>
            <w:tcW w:w="380" w:type="pct"/>
            <w:tcBorders>
              <w:top w:val="single" w:sz="4" w:space="0" w:color="auto"/>
            </w:tcBorders>
            <w:shd w:val="clear" w:color="auto" w:fill="auto"/>
            <w:noWrap/>
            <w:vAlign w:val="center"/>
            <w:hideMark/>
          </w:tcPr>
          <w:p w14:paraId="202A8356" w14:textId="77777777" w:rsidR="001E0F2D" w:rsidRPr="00596D34" w:rsidRDefault="001E0F2D" w:rsidP="001E0F2D">
            <w:pPr>
              <w:spacing w:before="0" w:after="0"/>
              <w:jc w:val="center"/>
              <w:rPr>
                <w:rFonts w:ascii="Times New Roman" w:eastAsia="Times New Roman" w:hAnsi="Times New Roman" w:cs="Times New Roman"/>
                <w:szCs w:val="20"/>
                <w:lang w:eastAsia="pt-BR"/>
              </w:rPr>
            </w:pPr>
          </w:p>
        </w:tc>
        <w:tc>
          <w:tcPr>
            <w:tcW w:w="456" w:type="pct"/>
            <w:tcBorders>
              <w:top w:val="single" w:sz="4" w:space="0" w:color="auto"/>
            </w:tcBorders>
            <w:shd w:val="clear" w:color="auto" w:fill="auto"/>
            <w:noWrap/>
            <w:vAlign w:val="center"/>
            <w:hideMark/>
          </w:tcPr>
          <w:p w14:paraId="19FD31C4" w14:textId="77777777" w:rsidR="001E0F2D" w:rsidRPr="00596D34" w:rsidRDefault="001E0F2D" w:rsidP="001E0F2D">
            <w:pPr>
              <w:spacing w:before="0" w:after="0"/>
              <w:jc w:val="center"/>
              <w:rPr>
                <w:rFonts w:ascii="Times New Roman" w:eastAsia="Times New Roman" w:hAnsi="Times New Roman" w:cs="Times New Roman"/>
                <w:szCs w:val="20"/>
                <w:lang w:eastAsia="pt-BR"/>
              </w:rPr>
            </w:pPr>
          </w:p>
        </w:tc>
      </w:tr>
      <w:tr w:rsidR="001E0F2D" w:rsidRPr="00596D34" w14:paraId="6FE91571" w14:textId="77777777" w:rsidTr="00B94B38">
        <w:trPr>
          <w:trHeight w:val="300"/>
          <w:jc w:val="center"/>
        </w:trPr>
        <w:tc>
          <w:tcPr>
            <w:tcW w:w="587" w:type="pct"/>
            <w:shd w:val="clear" w:color="auto" w:fill="auto"/>
            <w:noWrap/>
            <w:vAlign w:val="center"/>
            <w:hideMark/>
          </w:tcPr>
          <w:p w14:paraId="1F80A071"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As</w:t>
            </w:r>
          </w:p>
        </w:tc>
        <w:tc>
          <w:tcPr>
            <w:tcW w:w="778" w:type="pct"/>
            <w:shd w:val="clear" w:color="auto" w:fill="auto"/>
            <w:noWrap/>
            <w:vAlign w:val="center"/>
            <w:hideMark/>
          </w:tcPr>
          <w:p w14:paraId="2497CB25"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591" w:type="pct"/>
            <w:shd w:val="clear" w:color="auto" w:fill="auto"/>
            <w:noWrap/>
            <w:vAlign w:val="center"/>
            <w:hideMark/>
          </w:tcPr>
          <w:p w14:paraId="6E5917D7"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380" w:type="pct"/>
            <w:shd w:val="clear" w:color="auto" w:fill="auto"/>
            <w:noWrap/>
            <w:vAlign w:val="center"/>
            <w:hideMark/>
          </w:tcPr>
          <w:p w14:paraId="6AF4854B"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457" w:type="pct"/>
            <w:shd w:val="clear" w:color="auto" w:fill="auto"/>
            <w:noWrap/>
            <w:vAlign w:val="center"/>
            <w:hideMark/>
          </w:tcPr>
          <w:p w14:paraId="41AA878E"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778" w:type="pct"/>
            <w:shd w:val="clear" w:color="auto" w:fill="auto"/>
            <w:noWrap/>
            <w:vAlign w:val="center"/>
            <w:hideMark/>
          </w:tcPr>
          <w:p w14:paraId="461F2F6C"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591" w:type="pct"/>
            <w:shd w:val="clear" w:color="auto" w:fill="auto"/>
            <w:noWrap/>
            <w:vAlign w:val="center"/>
            <w:hideMark/>
          </w:tcPr>
          <w:p w14:paraId="356B1E19"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380" w:type="pct"/>
            <w:shd w:val="clear" w:color="auto" w:fill="auto"/>
            <w:noWrap/>
            <w:vAlign w:val="center"/>
            <w:hideMark/>
          </w:tcPr>
          <w:p w14:paraId="696E7315"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456" w:type="pct"/>
            <w:shd w:val="clear" w:color="auto" w:fill="auto"/>
            <w:noWrap/>
            <w:vAlign w:val="center"/>
            <w:hideMark/>
          </w:tcPr>
          <w:p w14:paraId="4D41C9D7"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r>
      <w:tr w:rsidR="001E0F2D" w:rsidRPr="00596D34" w14:paraId="426C4191" w14:textId="77777777" w:rsidTr="00B94B38">
        <w:trPr>
          <w:trHeight w:val="300"/>
          <w:jc w:val="center"/>
        </w:trPr>
        <w:tc>
          <w:tcPr>
            <w:tcW w:w="587" w:type="pct"/>
            <w:shd w:val="clear" w:color="auto" w:fill="auto"/>
            <w:noWrap/>
            <w:vAlign w:val="center"/>
            <w:hideMark/>
          </w:tcPr>
          <w:p w14:paraId="5BE8962C"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Ba</w:t>
            </w:r>
          </w:p>
        </w:tc>
        <w:tc>
          <w:tcPr>
            <w:tcW w:w="778" w:type="pct"/>
            <w:shd w:val="clear" w:color="auto" w:fill="auto"/>
            <w:noWrap/>
            <w:vAlign w:val="center"/>
            <w:hideMark/>
          </w:tcPr>
          <w:p w14:paraId="04D5F539"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36,1</w:t>
            </w:r>
          </w:p>
        </w:tc>
        <w:tc>
          <w:tcPr>
            <w:tcW w:w="591" w:type="pct"/>
            <w:shd w:val="clear" w:color="auto" w:fill="auto"/>
            <w:noWrap/>
            <w:vAlign w:val="center"/>
            <w:hideMark/>
          </w:tcPr>
          <w:p w14:paraId="1F2D3A04"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29</w:t>
            </w:r>
          </w:p>
        </w:tc>
        <w:tc>
          <w:tcPr>
            <w:tcW w:w="380" w:type="pct"/>
            <w:shd w:val="clear" w:color="auto" w:fill="auto"/>
            <w:noWrap/>
            <w:vAlign w:val="center"/>
            <w:hideMark/>
          </w:tcPr>
          <w:p w14:paraId="251768AC"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36,1</w:t>
            </w:r>
          </w:p>
        </w:tc>
        <w:tc>
          <w:tcPr>
            <w:tcW w:w="457" w:type="pct"/>
            <w:shd w:val="clear" w:color="auto" w:fill="auto"/>
            <w:noWrap/>
            <w:vAlign w:val="center"/>
            <w:hideMark/>
          </w:tcPr>
          <w:p w14:paraId="0E175153"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33,6</w:t>
            </w:r>
          </w:p>
        </w:tc>
        <w:tc>
          <w:tcPr>
            <w:tcW w:w="778" w:type="pct"/>
            <w:shd w:val="clear" w:color="auto" w:fill="auto"/>
            <w:noWrap/>
            <w:vAlign w:val="center"/>
            <w:hideMark/>
          </w:tcPr>
          <w:p w14:paraId="2F979187"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28,3</w:t>
            </w:r>
          </w:p>
        </w:tc>
        <w:tc>
          <w:tcPr>
            <w:tcW w:w="591" w:type="pct"/>
            <w:shd w:val="clear" w:color="auto" w:fill="auto"/>
            <w:noWrap/>
            <w:vAlign w:val="center"/>
            <w:hideMark/>
          </w:tcPr>
          <w:p w14:paraId="64B6C09B"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26,7</w:t>
            </w:r>
          </w:p>
        </w:tc>
        <w:tc>
          <w:tcPr>
            <w:tcW w:w="380" w:type="pct"/>
            <w:shd w:val="clear" w:color="auto" w:fill="auto"/>
            <w:noWrap/>
            <w:vAlign w:val="center"/>
            <w:hideMark/>
          </w:tcPr>
          <w:p w14:paraId="5207EEF9"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39,6</w:t>
            </w:r>
          </w:p>
        </w:tc>
        <w:tc>
          <w:tcPr>
            <w:tcW w:w="456" w:type="pct"/>
            <w:shd w:val="clear" w:color="auto" w:fill="auto"/>
            <w:noWrap/>
            <w:vAlign w:val="center"/>
            <w:hideMark/>
          </w:tcPr>
          <w:p w14:paraId="1567992E"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43,4</w:t>
            </w:r>
          </w:p>
        </w:tc>
      </w:tr>
      <w:tr w:rsidR="001E0F2D" w:rsidRPr="00596D34" w14:paraId="14F4F533" w14:textId="77777777" w:rsidTr="00B94B38">
        <w:trPr>
          <w:trHeight w:val="300"/>
          <w:jc w:val="center"/>
        </w:trPr>
        <w:tc>
          <w:tcPr>
            <w:tcW w:w="587" w:type="pct"/>
            <w:shd w:val="clear" w:color="auto" w:fill="auto"/>
            <w:noWrap/>
            <w:vAlign w:val="center"/>
            <w:hideMark/>
          </w:tcPr>
          <w:p w14:paraId="4E1C38EF"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Co</w:t>
            </w:r>
          </w:p>
        </w:tc>
        <w:tc>
          <w:tcPr>
            <w:tcW w:w="778" w:type="pct"/>
            <w:shd w:val="clear" w:color="auto" w:fill="auto"/>
            <w:noWrap/>
            <w:vAlign w:val="center"/>
            <w:hideMark/>
          </w:tcPr>
          <w:p w14:paraId="2BC0F9D3"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591" w:type="pct"/>
            <w:shd w:val="clear" w:color="auto" w:fill="auto"/>
            <w:noWrap/>
            <w:vAlign w:val="center"/>
            <w:hideMark/>
          </w:tcPr>
          <w:p w14:paraId="253CD4B1"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380" w:type="pct"/>
            <w:shd w:val="clear" w:color="auto" w:fill="auto"/>
            <w:noWrap/>
            <w:vAlign w:val="center"/>
            <w:hideMark/>
          </w:tcPr>
          <w:p w14:paraId="29B85741"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457" w:type="pct"/>
            <w:shd w:val="clear" w:color="auto" w:fill="auto"/>
            <w:noWrap/>
            <w:vAlign w:val="center"/>
            <w:hideMark/>
          </w:tcPr>
          <w:p w14:paraId="1FF820FF"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778" w:type="pct"/>
            <w:shd w:val="clear" w:color="auto" w:fill="auto"/>
            <w:noWrap/>
            <w:vAlign w:val="center"/>
            <w:hideMark/>
          </w:tcPr>
          <w:p w14:paraId="0D169BF3"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591" w:type="pct"/>
            <w:shd w:val="clear" w:color="auto" w:fill="auto"/>
            <w:noWrap/>
            <w:vAlign w:val="center"/>
            <w:hideMark/>
          </w:tcPr>
          <w:p w14:paraId="37696D6E"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380" w:type="pct"/>
            <w:shd w:val="clear" w:color="auto" w:fill="auto"/>
            <w:noWrap/>
            <w:vAlign w:val="center"/>
            <w:hideMark/>
          </w:tcPr>
          <w:p w14:paraId="6297D89F"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c>
          <w:tcPr>
            <w:tcW w:w="456" w:type="pct"/>
            <w:shd w:val="clear" w:color="auto" w:fill="auto"/>
            <w:noWrap/>
            <w:vAlign w:val="center"/>
            <w:hideMark/>
          </w:tcPr>
          <w:p w14:paraId="765E266C"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&lt;0,9</w:t>
            </w:r>
          </w:p>
        </w:tc>
      </w:tr>
      <w:tr w:rsidR="001E0F2D" w:rsidRPr="00596D34" w14:paraId="57FC1B93" w14:textId="77777777" w:rsidTr="00B94B38">
        <w:trPr>
          <w:trHeight w:val="300"/>
          <w:jc w:val="center"/>
        </w:trPr>
        <w:tc>
          <w:tcPr>
            <w:tcW w:w="587" w:type="pct"/>
            <w:shd w:val="clear" w:color="auto" w:fill="auto"/>
            <w:noWrap/>
            <w:vAlign w:val="center"/>
            <w:hideMark/>
          </w:tcPr>
          <w:p w14:paraId="146F51AA"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Cr</w:t>
            </w:r>
          </w:p>
        </w:tc>
        <w:tc>
          <w:tcPr>
            <w:tcW w:w="778" w:type="pct"/>
            <w:shd w:val="clear" w:color="auto" w:fill="auto"/>
            <w:noWrap/>
            <w:vAlign w:val="center"/>
            <w:hideMark/>
          </w:tcPr>
          <w:p w14:paraId="0D9C99B6"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c>
          <w:tcPr>
            <w:tcW w:w="591" w:type="pct"/>
            <w:shd w:val="clear" w:color="auto" w:fill="auto"/>
            <w:noWrap/>
            <w:vAlign w:val="center"/>
            <w:hideMark/>
          </w:tcPr>
          <w:p w14:paraId="4BC1A260"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c>
          <w:tcPr>
            <w:tcW w:w="380" w:type="pct"/>
            <w:shd w:val="clear" w:color="auto" w:fill="auto"/>
            <w:noWrap/>
            <w:vAlign w:val="center"/>
            <w:hideMark/>
          </w:tcPr>
          <w:p w14:paraId="5E7F0CBF"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c>
          <w:tcPr>
            <w:tcW w:w="457" w:type="pct"/>
            <w:shd w:val="clear" w:color="auto" w:fill="auto"/>
            <w:noWrap/>
            <w:vAlign w:val="center"/>
            <w:hideMark/>
          </w:tcPr>
          <w:p w14:paraId="4B18ED5A"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c>
          <w:tcPr>
            <w:tcW w:w="778" w:type="pct"/>
            <w:shd w:val="clear" w:color="auto" w:fill="auto"/>
            <w:noWrap/>
            <w:vAlign w:val="center"/>
            <w:hideMark/>
          </w:tcPr>
          <w:p w14:paraId="16567A1A"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c>
          <w:tcPr>
            <w:tcW w:w="591" w:type="pct"/>
            <w:shd w:val="clear" w:color="auto" w:fill="auto"/>
            <w:noWrap/>
            <w:vAlign w:val="center"/>
            <w:hideMark/>
          </w:tcPr>
          <w:p w14:paraId="0E96FA36"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c>
          <w:tcPr>
            <w:tcW w:w="380" w:type="pct"/>
            <w:shd w:val="clear" w:color="auto" w:fill="auto"/>
            <w:noWrap/>
            <w:vAlign w:val="center"/>
            <w:hideMark/>
          </w:tcPr>
          <w:p w14:paraId="51099706"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c>
          <w:tcPr>
            <w:tcW w:w="456" w:type="pct"/>
            <w:shd w:val="clear" w:color="auto" w:fill="auto"/>
            <w:noWrap/>
            <w:vAlign w:val="center"/>
            <w:hideMark/>
          </w:tcPr>
          <w:p w14:paraId="77F39DDD"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r>
      <w:tr w:rsidR="001E0F2D" w:rsidRPr="00596D34" w14:paraId="555F4655" w14:textId="77777777" w:rsidTr="00B94B38">
        <w:trPr>
          <w:trHeight w:val="300"/>
          <w:jc w:val="center"/>
        </w:trPr>
        <w:tc>
          <w:tcPr>
            <w:tcW w:w="587" w:type="pct"/>
            <w:shd w:val="clear" w:color="auto" w:fill="auto"/>
            <w:noWrap/>
            <w:vAlign w:val="center"/>
            <w:hideMark/>
          </w:tcPr>
          <w:p w14:paraId="7DBAACA4"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Cu</w:t>
            </w:r>
          </w:p>
        </w:tc>
        <w:tc>
          <w:tcPr>
            <w:tcW w:w="778" w:type="pct"/>
            <w:shd w:val="clear" w:color="auto" w:fill="auto"/>
            <w:noWrap/>
            <w:vAlign w:val="center"/>
            <w:hideMark/>
          </w:tcPr>
          <w:p w14:paraId="7D7E1266"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&lt;2,5</w:t>
            </w:r>
          </w:p>
        </w:tc>
        <w:tc>
          <w:tcPr>
            <w:tcW w:w="591" w:type="pct"/>
            <w:shd w:val="clear" w:color="auto" w:fill="auto"/>
            <w:noWrap/>
            <w:vAlign w:val="center"/>
            <w:hideMark/>
          </w:tcPr>
          <w:p w14:paraId="6894D8F3"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&lt;2,5</w:t>
            </w:r>
          </w:p>
        </w:tc>
        <w:tc>
          <w:tcPr>
            <w:tcW w:w="380" w:type="pct"/>
            <w:shd w:val="clear" w:color="auto" w:fill="auto"/>
            <w:noWrap/>
            <w:vAlign w:val="center"/>
            <w:hideMark/>
          </w:tcPr>
          <w:p w14:paraId="3153D2E5"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&lt;2,5</w:t>
            </w:r>
          </w:p>
        </w:tc>
        <w:tc>
          <w:tcPr>
            <w:tcW w:w="457" w:type="pct"/>
            <w:shd w:val="clear" w:color="auto" w:fill="auto"/>
            <w:noWrap/>
            <w:vAlign w:val="center"/>
            <w:hideMark/>
          </w:tcPr>
          <w:p w14:paraId="77CE7541"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&lt;2,5</w:t>
            </w:r>
          </w:p>
        </w:tc>
        <w:tc>
          <w:tcPr>
            <w:tcW w:w="778" w:type="pct"/>
            <w:shd w:val="clear" w:color="auto" w:fill="auto"/>
            <w:noWrap/>
            <w:vAlign w:val="center"/>
            <w:hideMark/>
          </w:tcPr>
          <w:p w14:paraId="46752531"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&lt;2,5</w:t>
            </w:r>
          </w:p>
        </w:tc>
        <w:tc>
          <w:tcPr>
            <w:tcW w:w="591" w:type="pct"/>
            <w:shd w:val="clear" w:color="auto" w:fill="auto"/>
            <w:noWrap/>
            <w:vAlign w:val="center"/>
            <w:hideMark/>
          </w:tcPr>
          <w:p w14:paraId="172095E8"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&lt;2,5</w:t>
            </w:r>
          </w:p>
        </w:tc>
        <w:tc>
          <w:tcPr>
            <w:tcW w:w="380" w:type="pct"/>
            <w:shd w:val="clear" w:color="auto" w:fill="auto"/>
            <w:noWrap/>
            <w:vAlign w:val="center"/>
            <w:hideMark/>
          </w:tcPr>
          <w:p w14:paraId="5823953C"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&lt;2,5</w:t>
            </w:r>
          </w:p>
        </w:tc>
        <w:tc>
          <w:tcPr>
            <w:tcW w:w="456" w:type="pct"/>
            <w:shd w:val="clear" w:color="auto" w:fill="auto"/>
            <w:noWrap/>
            <w:vAlign w:val="center"/>
            <w:hideMark/>
          </w:tcPr>
          <w:p w14:paraId="68210239"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&lt;2,5</w:t>
            </w:r>
          </w:p>
        </w:tc>
      </w:tr>
      <w:tr w:rsidR="001E0F2D" w:rsidRPr="00596D34" w14:paraId="31475499" w14:textId="77777777" w:rsidTr="00B94B38">
        <w:trPr>
          <w:trHeight w:val="300"/>
          <w:jc w:val="center"/>
        </w:trPr>
        <w:tc>
          <w:tcPr>
            <w:tcW w:w="587" w:type="pct"/>
            <w:shd w:val="clear" w:color="auto" w:fill="auto"/>
            <w:noWrap/>
            <w:vAlign w:val="center"/>
            <w:hideMark/>
          </w:tcPr>
          <w:p w14:paraId="431A0DDC"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Fe</w:t>
            </w:r>
          </w:p>
        </w:tc>
        <w:tc>
          <w:tcPr>
            <w:tcW w:w="778" w:type="pct"/>
            <w:shd w:val="clear" w:color="auto" w:fill="auto"/>
            <w:noWrap/>
            <w:vAlign w:val="center"/>
            <w:hideMark/>
          </w:tcPr>
          <w:p w14:paraId="599288BD"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218</w:t>
            </w:r>
          </w:p>
        </w:tc>
        <w:tc>
          <w:tcPr>
            <w:tcW w:w="591" w:type="pct"/>
            <w:shd w:val="clear" w:color="auto" w:fill="auto"/>
            <w:noWrap/>
            <w:vAlign w:val="center"/>
            <w:hideMark/>
          </w:tcPr>
          <w:p w14:paraId="65949000"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293,6</w:t>
            </w:r>
          </w:p>
        </w:tc>
        <w:tc>
          <w:tcPr>
            <w:tcW w:w="380" w:type="pct"/>
            <w:shd w:val="clear" w:color="auto" w:fill="auto"/>
            <w:noWrap/>
            <w:vAlign w:val="center"/>
            <w:hideMark/>
          </w:tcPr>
          <w:p w14:paraId="0F654BEF"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193,2</w:t>
            </w:r>
          </w:p>
        </w:tc>
        <w:tc>
          <w:tcPr>
            <w:tcW w:w="457" w:type="pct"/>
            <w:shd w:val="clear" w:color="auto" w:fill="auto"/>
            <w:noWrap/>
            <w:vAlign w:val="center"/>
            <w:hideMark/>
          </w:tcPr>
          <w:p w14:paraId="3C1ED3EF"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543,6</w:t>
            </w:r>
          </w:p>
        </w:tc>
        <w:tc>
          <w:tcPr>
            <w:tcW w:w="778" w:type="pct"/>
            <w:shd w:val="clear" w:color="auto" w:fill="auto"/>
            <w:noWrap/>
            <w:vAlign w:val="center"/>
            <w:hideMark/>
          </w:tcPr>
          <w:p w14:paraId="05B555F0"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214,6</w:t>
            </w:r>
          </w:p>
        </w:tc>
        <w:tc>
          <w:tcPr>
            <w:tcW w:w="591" w:type="pct"/>
            <w:shd w:val="clear" w:color="auto" w:fill="auto"/>
            <w:noWrap/>
            <w:vAlign w:val="center"/>
            <w:hideMark/>
          </w:tcPr>
          <w:p w14:paraId="18AE9110"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317,2</w:t>
            </w:r>
          </w:p>
        </w:tc>
        <w:tc>
          <w:tcPr>
            <w:tcW w:w="380" w:type="pct"/>
            <w:shd w:val="clear" w:color="auto" w:fill="auto"/>
            <w:noWrap/>
            <w:vAlign w:val="center"/>
            <w:hideMark/>
          </w:tcPr>
          <w:p w14:paraId="7BFFC11D"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234,4</w:t>
            </w:r>
          </w:p>
        </w:tc>
        <w:tc>
          <w:tcPr>
            <w:tcW w:w="456" w:type="pct"/>
            <w:shd w:val="clear" w:color="auto" w:fill="auto"/>
            <w:noWrap/>
            <w:vAlign w:val="center"/>
            <w:hideMark/>
          </w:tcPr>
          <w:p w14:paraId="1DA07F7B"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490</w:t>
            </w:r>
          </w:p>
        </w:tc>
      </w:tr>
      <w:tr w:rsidR="001E0F2D" w:rsidRPr="00596D34" w14:paraId="4B369C9C" w14:textId="77777777" w:rsidTr="00B94B38">
        <w:trPr>
          <w:trHeight w:val="300"/>
          <w:jc w:val="center"/>
        </w:trPr>
        <w:tc>
          <w:tcPr>
            <w:tcW w:w="587" w:type="pct"/>
            <w:shd w:val="clear" w:color="auto" w:fill="auto"/>
            <w:noWrap/>
            <w:vAlign w:val="center"/>
            <w:hideMark/>
          </w:tcPr>
          <w:p w14:paraId="18852CEE"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Mn</w:t>
            </w:r>
          </w:p>
        </w:tc>
        <w:tc>
          <w:tcPr>
            <w:tcW w:w="778" w:type="pct"/>
            <w:shd w:val="clear" w:color="auto" w:fill="auto"/>
            <w:noWrap/>
            <w:vAlign w:val="center"/>
            <w:hideMark/>
          </w:tcPr>
          <w:p w14:paraId="4819548B"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4,8</w:t>
            </w:r>
          </w:p>
        </w:tc>
        <w:tc>
          <w:tcPr>
            <w:tcW w:w="591" w:type="pct"/>
            <w:shd w:val="clear" w:color="auto" w:fill="auto"/>
            <w:noWrap/>
            <w:vAlign w:val="center"/>
            <w:hideMark/>
          </w:tcPr>
          <w:p w14:paraId="0ECD272D"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3,9</w:t>
            </w:r>
          </w:p>
        </w:tc>
        <w:tc>
          <w:tcPr>
            <w:tcW w:w="380" w:type="pct"/>
            <w:shd w:val="clear" w:color="auto" w:fill="auto"/>
            <w:noWrap/>
            <w:vAlign w:val="center"/>
            <w:hideMark/>
          </w:tcPr>
          <w:p w14:paraId="6F64922E"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22</w:t>
            </w:r>
          </w:p>
        </w:tc>
        <w:tc>
          <w:tcPr>
            <w:tcW w:w="457" w:type="pct"/>
            <w:shd w:val="clear" w:color="auto" w:fill="auto"/>
            <w:noWrap/>
            <w:vAlign w:val="center"/>
            <w:hideMark/>
          </w:tcPr>
          <w:p w14:paraId="0048EEB1"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57,4</w:t>
            </w:r>
          </w:p>
        </w:tc>
        <w:tc>
          <w:tcPr>
            <w:tcW w:w="778" w:type="pct"/>
            <w:shd w:val="clear" w:color="auto" w:fill="auto"/>
            <w:noWrap/>
            <w:vAlign w:val="center"/>
            <w:hideMark/>
          </w:tcPr>
          <w:p w14:paraId="08F9B912"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2,8</w:t>
            </w:r>
          </w:p>
        </w:tc>
        <w:tc>
          <w:tcPr>
            <w:tcW w:w="591" w:type="pct"/>
            <w:shd w:val="clear" w:color="auto" w:fill="auto"/>
            <w:noWrap/>
            <w:vAlign w:val="center"/>
            <w:hideMark/>
          </w:tcPr>
          <w:p w14:paraId="6F3DA6ED"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3,1</w:t>
            </w:r>
          </w:p>
        </w:tc>
        <w:tc>
          <w:tcPr>
            <w:tcW w:w="380" w:type="pct"/>
            <w:shd w:val="clear" w:color="auto" w:fill="auto"/>
            <w:noWrap/>
            <w:vAlign w:val="center"/>
            <w:hideMark/>
          </w:tcPr>
          <w:p w14:paraId="2B39D3F1"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4</w:t>
            </w:r>
          </w:p>
        </w:tc>
        <w:tc>
          <w:tcPr>
            <w:tcW w:w="456" w:type="pct"/>
            <w:shd w:val="clear" w:color="auto" w:fill="auto"/>
            <w:noWrap/>
            <w:vAlign w:val="center"/>
            <w:hideMark/>
          </w:tcPr>
          <w:p w14:paraId="648486DC"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7</w:t>
            </w:r>
          </w:p>
        </w:tc>
      </w:tr>
      <w:tr w:rsidR="001E0F2D" w:rsidRPr="00596D34" w14:paraId="2644A62F" w14:textId="77777777" w:rsidTr="00B94B38">
        <w:trPr>
          <w:trHeight w:val="300"/>
          <w:jc w:val="center"/>
        </w:trPr>
        <w:tc>
          <w:tcPr>
            <w:tcW w:w="587" w:type="pct"/>
            <w:shd w:val="clear" w:color="auto" w:fill="auto"/>
            <w:noWrap/>
            <w:vAlign w:val="center"/>
            <w:hideMark/>
          </w:tcPr>
          <w:p w14:paraId="0922DBBA"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Pb</w:t>
            </w:r>
          </w:p>
        </w:tc>
        <w:tc>
          <w:tcPr>
            <w:tcW w:w="778" w:type="pct"/>
            <w:shd w:val="clear" w:color="auto" w:fill="auto"/>
            <w:noWrap/>
            <w:vAlign w:val="center"/>
            <w:hideMark/>
          </w:tcPr>
          <w:p w14:paraId="195413E3"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&lt;1,8</w:t>
            </w:r>
          </w:p>
        </w:tc>
        <w:tc>
          <w:tcPr>
            <w:tcW w:w="591" w:type="pct"/>
            <w:shd w:val="clear" w:color="auto" w:fill="auto"/>
            <w:noWrap/>
            <w:vAlign w:val="center"/>
            <w:hideMark/>
          </w:tcPr>
          <w:p w14:paraId="498BB079"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&lt;1,8</w:t>
            </w:r>
          </w:p>
        </w:tc>
        <w:tc>
          <w:tcPr>
            <w:tcW w:w="380" w:type="pct"/>
            <w:shd w:val="clear" w:color="auto" w:fill="auto"/>
            <w:noWrap/>
            <w:vAlign w:val="center"/>
            <w:hideMark/>
          </w:tcPr>
          <w:p w14:paraId="0EFDF6F7"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&lt;1,8</w:t>
            </w:r>
          </w:p>
        </w:tc>
        <w:tc>
          <w:tcPr>
            <w:tcW w:w="457" w:type="pct"/>
            <w:shd w:val="clear" w:color="auto" w:fill="auto"/>
            <w:noWrap/>
            <w:vAlign w:val="center"/>
            <w:hideMark/>
          </w:tcPr>
          <w:p w14:paraId="3FF80F83"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&lt;1,8</w:t>
            </w:r>
          </w:p>
        </w:tc>
        <w:tc>
          <w:tcPr>
            <w:tcW w:w="778" w:type="pct"/>
            <w:shd w:val="clear" w:color="auto" w:fill="auto"/>
            <w:noWrap/>
            <w:vAlign w:val="center"/>
            <w:hideMark/>
          </w:tcPr>
          <w:p w14:paraId="2A77EDC2"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2,7</w:t>
            </w:r>
          </w:p>
        </w:tc>
        <w:tc>
          <w:tcPr>
            <w:tcW w:w="591" w:type="pct"/>
            <w:shd w:val="clear" w:color="auto" w:fill="auto"/>
            <w:noWrap/>
            <w:vAlign w:val="center"/>
            <w:hideMark/>
          </w:tcPr>
          <w:p w14:paraId="55E8E4CC"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&lt;1,8</w:t>
            </w:r>
          </w:p>
        </w:tc>
        <w:tc>
          <w:tcPr>
            <w:tcW w:w="380" w:type="pct"/>
            <w:shd w:val="clear" w:color="auto" w:fill="auto"/>
            <w:noWrap/>
            <w:vAlign w:val="center"/>
            <w:hideMark/>
          </w:tcPr>
          <w:p w14:paraId="629E3E39"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&lt;1,8</w:t>
            </w:r>
          </w:p>
        </w:tc>
        <w:tc>
          <w:tcPr>
            <w:tcW w:w="456" w:type="pct"/>
            <w:shd w:val="clear" w:color="auto" w:fill="auto"/>
            <w:noWrap/>
            <w:vAlign w:val="center"/>
            <w:hideMark/>
          </w:tcPr>
          <w:p w14:paraId="6BC601EC"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&lt;1,8</w:t>
            </w:r>
          </w:p>
        </w:tc>
      </w:tr>
      <w:tr w:rsidR="001E0F2D" w:rsidRPr="00596D34" w14:paraId="24958BC6" w14:textId="77777777" w:rsidTr="00B94B38">
        <w:trPr>
          <w:trHeight w:val="300"/>
          <w:jc w:val="center"/>
        </w:trPr>
        <w:tc>
          <w:tcPr>
            <w:tcW w:w="587" w:type="pct"/>
            <w:shd w:val="clear" w:color="auto" w:fill="auto"/>
            <w:noWrap/>
            <w:vAlign w:val="center"/>
            <w:hideMark/>
          </w:tcPr>
          <w:p w14:paraId="32A81ED5"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V</w:t>
            </w:r>
          </w:p>
        </w:tc>
        <w:tc>
          <w:tcPr>
            <w:tcW w:w="778" w:type="pct"/>
            <w:shd w:val="clear" w:color="auto" w:fill="auto"/>
            <w:noWrap/>
            <w:vAlign w:val="center"/>
            <w:hideMark/>
          </w:tcPr>
          <w:p w14:paraId="76B3AF56"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1,3</w:t>
            </w:r>
          </w:p>
        </w:tc>
        <w:tc>
          <w:tcPr>
            <w:tcW w:w="591" w:type="pct"/>
            <w:shd w:val="clear" w:color="auto" w:fill="auto"/>
            <w:noWrap/>
            <w:vAlign w:val="center"/>
            <w:hideMark/>
          </w:tcPr>
          <w:p w14:paraId="665A6DE7"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1,2</w:t>
            </w:r>
          </w:p>
        </w:tc>
        <w:tc>
          <w:tcPr>
            <w:tcW w:w="380" w:type="pct"/>
            <w:shd w:val="clear" w:color="auto" w:fill="auto"/>
            <w:noWrap/>
            <w:vAlign w:val="center"/>
            <w:hideMark/>
          </w:tcPr>
          <w:p w14:paraId="363713E8"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c>
          <w:tcPr>
            <w:tcW w:w="457" w:type="pct"/>
            <w:shd w:val="clear" w:color="auto" w:fill="auto"/>
            <w:noWrap/>
            <w:vAlign w:val="center"/>
            <w:hideMark/>
          </w:tcPr>
          <w:p w14:paraId="7A036EB7"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1,1</w:t>
            </w:r>
          </w:p>
        </w:tc>
        <w:tc>
          <w:tcPr>
            <w:tcW w:w="778" w:type="pct"/>
            <w:shd w:val="clear" w:color="auto" w:fill="auto"/>
            <w:noWrap/>
            <w:vAlign w:val="center"/>
            <w:hideMark/>
          </w:tcPr>
          <w:p w14:paraId="70BB4E99"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c>
          <w:tcPr>
            <w:tcW w:w="591" w:type="pct"/>
            <w:shd w:val="clear" w:color="auto" w:fill="auto"/>
            <w:noWrap/>
            <w:vAlign w:val="center"/>
            <w:hideMark/>
          </w:tcPr>
          <w:p w14:paraId="5CC347FB"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c>
          <w:tcPr>
            <w:tcW w:w="380" w:type="pct"/>
            <w:shd w:val="clear" w:color="auto" w:fill="auto"/>
            <w:noWrap/>
            <w:vAlign w:val="center"/>
            <w:hideMark/>
          </w:tcPr>
          <w:p w14:paraId="4AAD4086"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c>
          <w:tcPr>
            <w:tcW w:w="456" w:type="pct"/>
            <w:shd w:val="clear" w:color="auto" w:fill="auto"/>
            <w:noWrap/>
            <w:vAlign w:val="center"/>
            <w:hideMark/>
          </w:tcPr>
          <w:p w14:paraId="7391346F"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&lt;1,1</w:t>
            </w:r>
          </w:p>
        </w:tc>
      </w:tr>
      <w:tr w:rsidR="001E0F2D" w:rsidRPr="00596D34" w14:paraId="09B7C01E" w14:textId="77777777" w:rsidTr="00B94B38">
        <w:trPr>
          <w:trHeight w:val="300"/>
          <w:jc w:val="center"/>
        </w:trPr>
        <w:tc>
          <w:tcPr>
            <w:tcW w:w="587" w:type="pct"/>
            <w:shd w:val="clear" w:color="auto" w:fill="auto"/>
            <w:noWrap/>
            <w:vAlign w:val="center"/>
            <w:hideMark/>
          </w:tcPr>
          <w:p w14:paraId="181FF1BD"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Zn</w:t>
            </w:r>
          </w:p>
        </w:tc>
        <w:tc>
          <w:tcPr>
            <w:tcW w:w="778" w:type="pct"/>
            <w:shd w:val="clear" w:color="auto" w:fill="auto"/>
            <w:noWrap/>
            <w:vAlign w:val="center"/>
            <w:hideMark/>
          </w:tcPr>
          <w:p w14:paraId="1C89AC17"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3,2</w:t>
            </w:r>
          </w:p>
        </w:tc>
        <w:tc>
          <w:tcPr>
            <w:tcW w:w="591" w:type="pct"/>
            <w:shd w:val="clear" w:color="auto" w:fill="auto"/>
            <w:noWrap/>
            <w:vAlign w:val="center"/>
            <w:hideMark/>
          </w:tcPr>
          <w:p w14:paraId="689BAC52"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7,4</w:t>
            </w:r>
          </w:p>
        </w:tc>
        <w:tc>
          <w:tcPr>
            <w:tcW w:w="380" w:type="pct"/>
            <w:shd w:val="clear" w:color="auto" w:fill="auto"/>
            <w:noWrap/>
            <w:vAlign w:val="center"/>
            <w:hideMark/>
          </w:tcPr>
          <w:p w14:paraId="372EA7F2"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5,4</w:t>
            </w:r>
          </w:p>
        </w:tc>
        <w:tc>
          <w:tcPr>
            <w:tcW w:w="457" w:type="pct"/>
            <w:shd w:val="clear" w:color="auto" w:fill="auto"/>
            <w:noWrap/>
            <w:vAlign w:val="center"/>
            <w:hideMark/>
          </w:tcPr>
          <w:p w14:paraId="13EDC6CF"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8,4</w:t>
            </w:r>
          </w:p>
        </w:tc>
        <w:tc>
          <w:tcPr>
            <w:tcW w:w="778" w:type="pct"/>
            <w:shd w:val="clear" w:color="auto" w:fill="auto"/>
            <w:noWrap/>
            <w:vAlign w:val="center"/>
            <w:hideMark/>
          </w:tcPr>
          <w:p w14:paraId="23F0A926"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6,1</w:t>
            </w:r>
          </w:p>
        </w:tc>
        <w:tc>
          <w:tcPr>
            <w:tcW w:w="591" w:type="pct"/>
            <w:shd w:val="clear" w:color="auto" w:fill="auto"/>
            <w:noWrap/>
            <w:vAlign w:val="center"/>
            <w:hideMark/>
          </w:tcPr>
          <w:p w14:paraId="6295E840"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11</w:t>
            </w:r>
          </w:p>
        </w:tc>
        <w:tc>
          <w:tcPr>
            <w:tcW w:w="380" w:type="pct"/>
            <w:shd w:val="clear" w:color="auto" w:fill="auto"/>
            <w:noWrap/>
            <w:vAlign w:val="center"/>
            <w:hideMark/>
          </w:tcPr>
          <w:p w14:paraId="2BFBCA19"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7,5</w:t>
            </w:r>
          </w:p>
        </w:tc>
        <w:tc>
          <w:tcPr>
            <w:tcW w:w="456" w:type="pct"/>
            <w:shd w:val="clear" w:color="auto" w:fill="auto"/>
            <w:noWrap/>
            <w:vAlign w:val="center"/>
            <w:hideMark/>
          </w:tcPr>
          <w:p w14:paraId="7584FBAB" w14:textId="77777777" w:rsidR="001E0F2D" w:rsidRPr="00596D34" w:rsidRDefault="001E0F2D" w:rsidP="001E0F2D">
            <w:pPr>
              <w:spacing w:before="0" w:after="0"/>
              <w:jc w:val="center"/>
              <w:rPr>
                <w:rFonts w:ascii="Calibri" w:eastAsia="Times New Roman" w:hAnsi="Calibri" w:cs="Calibri"/>
                <w:color w:val="000000"/>
                <w:lang w:eastAsia="pt-BR"/>
              </w:rPr>
            </w:pPr>
            <w:r w:rsidRPr="00596D34">
              <w:rPr>
                <w:rFonts w:ascii="Calibri" w:eastAsia="Times New Roman" w:hAnsi="Calibri" w:cs="Calibri"/>
                <w:color w:val="000000"/>
                <w:lang w:eastAsia="pt-BR"/>
              </w:rPr>
              <w:t>13,5</w:t>
            </w:r>
          </w:p>
        </w:tc>
      </w:tr>
    </w:tbl>
    <w:p w14:paraId="21B9DA4C" w14:textId="77777777" w:rsidR="007E1E90" w:rsidRDefault="007E1E90" w:rsidP="005C2856">
      <w:pPr>
        <w:ind w:firstLine="360"/>
      </w:pPr>
    </w:p>
    <w:p w14:paraId="074DA43E" w14:textId="6A6331A3" w:rsidR="001E0F2D" w:rsidRDefault="001E0F2D" w:rsidP="005C2856">
      <w:pPr>
        <w:ind w:firstLine="360"/>
      </w:pPr>
      <w:r>
        <w:t xml:space="preserve">Estão apresentadas nas Figuras </w:t>
      </w:r>
      <w:r>
        <w:fldChar w:fldCharType="begin"/>
      </w:r>
      <w:r>
        <w:instrText xml:space="preserve"> REF Fig_agua_MD_variab_transi_varios_elem \h </w:instrText>
      </w:r>
      <w:r>
        <w:fldChar w:fldCharType="separate"/>
      </w:r>
      <w:r w:rsidR="002C014F">
        <w:rPr>
          <w:noProof/>
        </w:rPr>
        <w:t>6</w:t>
      </w:r>
      <w:r>
        <w:fldChar w:fldCharType="end"/>
      </w:r>
      <w:r>
        <w:t xml:space="preserve"> a </w:t>
      </w:r>
      <w:r>
        <w:fldChar w:fldCharType="begin"/>
      </w:r>
      <w:r>
        <w:instrText xml:space="preserve"> REF Fig_agua_MD_variab_transi_Fe \h </w:instrText>
      </w:r>
      <w:r>
        <w:fldChar w:fldCharType="separate"/>
      </w:r>
      <w:r w:rsidR="002C014F">
        <w:rPr>
          <w:noProof/>
        </w:rPr>
        <w:t>8</w:t>
      </w:r>
      <w:r>
        <w:fldChar w:fldCharType="end"/>
      </w:r>
      <w:r>
        <w:t xml:space="preserve"> as variabilidades de alguns elementos inorgânicos analisados nas amostras de água dos quatro ambientes dulcícolas estudados. A divisão dos elementos em diferentes figuras levou em consideração a magnitude dos valores obtidos:</w:t>
      </w:r>
    </w:p>
    <w:p w14:paraId="48A2870F" w14:textId="77777777" w:rsidR="001E0F2D" w:rsidRPr="00872E7B" w:rsidRDefault="001E0F2D" w:rsidP="001E0F2D">
      <w:pPr>
        <w:pStyle w:val="PargrafodaLista"/>
        <w:numPr>
          <w:ilvl w:val="0"/>
          <w:numId w:val="10"/>
        </w:numPr>
        <w:spacing w:before="0" w:line="259" w:lineRule="auto"/>
        <w:rPr>
          <w:rFonts w:cstheme="minorHAnsi"/>
        </w:rPr>
      </w:pPr>
      <w:r>
        <w:rPr>
          <w:rFonts w:cstheme="minorHAnsi"/>
        </w:rPr>
        <w:t xml:space="preserve">As, Cd, Co, Cr, Cu, Hg, Ni, Pb, Sn, V e Zn (até 30 </w:t>
      </w:r>
      <w:r w:rsidRPr="009154C2">
        <w:rPr>
          <w:rFonts w:ascii="Symbol" w:hAnsi="Symbol" w:cstheme="minorHAnsi"/>
        </w:rPr>
        <w:t></w:t>
      </w:r>
      <w:r>
        <w:rPr>
          <w:rFonts w:cstheme="minorHAnsi"/>
        </w:rPr>
        <w:t>g L</w:t>
      </w:r>
      <w:r w:rsidRPr="009154C2">
        <w:rPr>
          <w:rFonts w:cstheme="minorHAnsi"/>
          <w:vertAlign w:val="superscript"/>
        </w:rPr>
        <w:t>-1</w:t>
      </w:r>
      <w:r>
        <w:rPr>
          <w:rFonts w:cstheme="minorHAnsi"/>
        </w:rPr>
        <w:t>)</w:t>
      </w:r>
      <w:r w:rsidRPr="00872E7B">
        <w:rPr>
          <w:rFonts w:cstheme="minorHAnsi"/>
        </w:rPr>
        <w:t>,</w:t>
      </w:r>
    </w:p>
    <w:p w14:paraId="1E242E8E" w14:textId="77777777" w:rsidR="001E0F2D" w:rsidRPr="00872E7B" w:rsidRDefault="001E0F2D" w:rsidP="001E0F2D">
      <w:pPr>
        <w:pStyle w:val="PargrafodaLista"/>
        <w:numPr>
          <w:ilvl w:val="0"/>
          <w:numId w:val="10"/>
        </w:numPr>
        <w:spacing w:before="0" w:line="259" w:lineRule="auto"/>
        <w:rPr>
          <w:rFonts w:cstheme="minorHAnsi"/>
        </w:rPr>
      </w:pPr>
      <w:r w:rsidRPr="00872E7B">
        <w:rPr>
          <w:rFonts w:cstheme="minorHAnsi"/>
        </w:rPr>
        <w:t xml:space="preserve">Ba e Mn (até </w:t>
      </w:r>
      <w:r>
        <w:rPr>
          <w:rFonts w:cstheme="minorHAnsi"/>
        </w:rPr>
        <w:t>1</w:t>
      </w:r>
      <w:r w:rsidRPr="00872E7B">
        <w:rPr>
          <w:rFonts w:cstheme="minorHAnsi"/>
        </w:rPr>
        <w:t xml:space="preserve">00 </w:t>
      </w:r>
      <w:r w:rsidRPr="00872E7B">
        <w:rPr>
          <w:rFonts w:ascii="Symbol" w:hAnsi="Symbol" w:cstheme="minorHAnsi"/>
        </w:rPr>
        <w:t></w:t>
      </w:r>
      <w:r w:rsidRPr="00872E7B">
        <w:rPr>
          <w:rFonts w:cstheme="minorHAnsi"/>
        </w:rPr>
        <w:t>g L</w:t>
      </w:r>
      <w:r w:rsidRPr="00872E7B">
        <w:rPr>
          <w:rFonts w:cstheme="minorHAnsi"/>
          <w:vertAlign w:val="superscript"/>
        </w:rPr>
        <w:t>-1</w:t>
      </w:r>
      <w:r w:rsidRPr="00872E7B">
        <w:rPr>
          <w:rFonts w:cstheme="minorHAnsi"/>
        </w:rPr>
        <w:t>),</w:t>
      </w:r>
    </w:p>
    <w:p w14:paraId="6D1ACAD6" w14:textId="77777777" w:rsidR="001E0F2D" w:rsidRDefault="001E0F2D" w:rsidP="001E0F2D">
      <w:pPr>
        <w:pStyle w:val="PargrafodaLista"/>
        <w:numPr>
          <w:ilvl w:val="0"/>
          <w:numId w:val="10"/>
        </w:numPr>
        <w:spacing w:before="0" w:line="259" w:lineRule="auto"/>
        <w:rPr>
          <w:rFonts w:cstheme="minorHAnsi"/>
        </w:rPr>
      </w:pPr>
      <w:r w:rsidRPr="00872E7B">
        <w:rPr>
          <w:rFonts w:cstheme="minorHAnsi"/>
        </w:rPr>
        <w:t xml:space="preserve">Fe (até </w:t>
      </w:r>
      <w:r>
        <w:rPr>
          <w:rFonts w:cstheme="minorHAnsi"/>
        </w:rPr>
        <w:t>15</w:t>
      </w:r>
      <w:r w:rsidRPr="00872E7B">
        <w:rPr>
          <w:rFonts w:cstheme="minorHAnsi"/>
        </w:rPr>
        <w:t xml:space="preserve">00 </w:t>
      </w:r>
      <w:r w:rsidRPr="00872E7B">
        <w:rPr>
          <w:rFonts w:ascii="Symbol" w:hAnsi="Symbol" w:cstheme="minorHAnsi"/>
        </w:rPr>
        <w:t></w:t>
      </w:r>
      <w:r w:rsidRPr="00872E7B">
        <w:rPr>
          <w:rFonts w:cstheme="minorHAnsi"/>
        </w:rPr>
        <w:t>g L</w:t>
      </w:r>
      <w:r w:rsidRPr="00872E7B">
        <w:rPr>
          <w:rFonts w:cstheme="minorHAnsi"/>
          <w:vertAlign w:val="superscript"/>
        </w:rPr>
        <w:t>-1</w:t>
      </w:r>
      <w:r w:rsidRPr="00872E7B">
        <w:rPr>
          <w:rFonts w:cstheme="minorHAnsi"/>
        </w:rPr>
        <w:t>),</w:t>
      </w:r>
    </w:p>
    <w:p w14:paraId="37E457FF" w14:textId="77777777" w:rsidR="001E0F2D" w:rsidRDefault="001E0F2D" w:rsidP="001E0F2D">
      <w:pPr>
        <w:rPr>
          <w:rFonts w:cstheme="minorHAnsi"/>
        </w:rPr>
      </w:pPr>
      <w:r>
        <w:rPr>
          <w:rFonts w:cstheme="minorHAnsi"/>
        </w:rPr>
        <w:br w:type="page"/>
      </w:r>
    </w:p>
    <w:p w14:paraId="4E10ACF9" w14:textId="57643CFA" w:rsidR="001E0F2D" w:rsidRDefault="001E0F2D" w:rsidP="001E0F2D">
      <w:pPr>
        <w:pStyle w:val="Legenda"/>
        <w:keepNext/>
      </w:pPr>
      <w:bookmarkStart w:id="37" w:name="_Ref41903571"/>
      <w:bookmarkStart w:id="38" w:name="_Toc46992140"/>
      <w:r>
        <w:lastRenderedPageBreak/>
        <w:t xml:space="preserve">Figura </w:t>
      </w:r>
      <w:bookmarkStart w:id="39" w:name="Fig_agua_MD_variab_transi_varios_elem"/>
      <w:r>
        <w:fldChar w:fldCharType="begin"/>
      </w:r>
      <w:r>
        <w:instrText xml:space="preserve"> SEQ Figura \* ARABIC </w:instrText>
      </w:r>
      <w:r>
        <w:fldChar w:fldCharType="separate"/>
      </w:r>
      <w:r w:rsidR="002C014F">
        <w:rPr>
          <w:noProof/>
        </w:rPr>
        <w:t>6</w:t>
      </w:r>
      <w:r>
        <w:rPr>
          <w:noProof/>
        </w:rPr>
        <w:fldChar w:fldCharType="end"/>
      </w:r>
      <w:bookmarkEnd w:id="37"/>
      <w:bookmarkEnd w:id="39"/>
      <w:r>
        <w:t xml:space="preserve"> - </w:t>
      </w:r>
      <w:r w:rsidRPr="00306BEA">
        <w:t xml:space="preserve">Variabilidade de alguns elementos inorgânicos em água metais </w:t>
      </w:r>
      <w:r>
        <w:t>dissolvidos</w:t>
      </w:r>
      <w:r w:rsidRPr="00306BEA">
        <w:t xml:space="preserve"> nos sistemas do Rio Guandu, Rio Doce, Lagos e Lagoas.</w:t>
      </w:r>
      <w:bookmarkEnd w:id="38"/>
    </w:p>
    <w:p w14:paraId="70C8B667" w14:textId="77777777" w:rsidR="001E0F2D" w:rsidRDefault="001E0F2D" w:rsidP="001E0F2D">
      <w:pPr>
        <w:jc w:val="center"/>
      </w:pPr>
      <w:r w:rsidRPr="00C146BA">
        <w:rPr>
          <w:noProof/>
          <w:lang w:eastAsia="pt-BR"/>
        </w:rPr>
        <w:drawing>
          <wp:inline distT="0" distB="0" distL="0" distR="0" wp14:anchorId="34FC60B5" wp14:editId="426DDFF5">
            <wp:extent cx="3730077" cy="7200000"/>
            <wp:effectExtent l="0" t="0" r="3810" b="127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30077" cy="7200000"/>
                    </a:xfrm>
                    <a:prstGeom prst="rect">
                      <a:avLst/>
                    </a:prstGeom>
                    <a:noFill/>
                    <a:ln>
                      <a:noFill/>
                    </a:ln>
                  </pic:spPr>
                </pic:pic>
              </a:graphicData>
            </a:graphic>
          </wp:inline>
        </w:drawing>
      </w:r>
    </w:p>
    <w:p w14:paraId="5F0A8779" w14:textId="73533D41" w:rsidR="001E0F2D" w:rsidRDefault="001E0F2D" w:rsidP="001E0F2D">
      <w:pPr>
        <w:pStyle w:val="Legenda"/>
        <w:keepNext/>
        <w:rPr>
          <w:noProof/>
        </w:rPr>
      </w:pPr>
      <w:bookmarkStart w:id="40" w:name="_Ref41904126"/>
      <w:bookmarkStart w:id="41" w:name="_Toc46992141"/>
      <w:r>
        <w:lastRenderedPageBreak/>
        <w:t xml:space="preserve">Figura </w:t>
      </w:r>
      <w:fldSimple w:instr=" SEQ Figura \* ARABIC ">
        <w:r w:rsidR="002C014F">
          <w:rPr>
            <w:noProof/>
          </w:rPr>
          <w:t>7</w:t>
        </w:r>
      </w:fldSimple>
      <w:bookmarkEnd w:id="40"/>
      <w:r>
        <w:t xml:space="preserve"> - </w:t>
      </w:r>
      <w:r w:rsidRPr="003D7238">
        <w:t>Variabilidade d</w:t>
      </w:r>
      <w:r>
        <w:t>o</w:t>
      </w:r>
      <w:r w:rsidRPr="003D7238">
        <w:t xml:space="preserve"> </w:t>
      </w:r>
      <w:r>
        <w:t>Ba e Mn</w:t>
      </w:r>
      <w:r w:rsidRPr="003D7238">
        <w:t xml:space="preserve"> em água metais </w:t>
      </w:r>
      <w:r>
        <w:t>dissolvidos</w:t>
      </w:r>
      <w:r w:rsidRPr="003D7238">
        <w:t xml:space="preserve"> nos sistemas do Rio Guandu, Rio Doce, Lagos e Lagoas.</w:t>
      </w:r>
      <w:bookmarkEnd w:id="41"/>
      <w:r w:rsidRPr="00F457AE">
        <w:rPr>
          <w:noProof/>
        </w:rPr>
        <w:t xml:space="preserve"> </w:t>
      </w:r>
    </w:p>
    <w:p w14:paraId="31FC291D" w14:textId="77777777" w:rsidR="001E0F2D" w:rsidRDefault="001E0F2D" w:rsidP="001E0F2D">
      <w:pPr>
        <w:jc w:val="center"/>
      </w:pPr>
      <w:r w:rsidRPr="00C146BA">
        <w:rPr>
          <w:noProof/>
          <w:lang w:eastAsia="pt-BR"/>
        </w:rPr>
        <w:drawing>
          <wp:inline distT="0" distB="0" distL="0" distR="0" wp14:anchorId="710317CA" wp14:editId="0FC8914D">
            <wp:extent cx="3730077" cy="7200000"/>
            <wp:effectExtent l="0" t="0" r="3810" b="127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30077" cy="7200000"/>
                    </a:xfrm>
                    <a:prstGeom prst="rect">
                      <a:avLst/>
                    </a:prstGeom>
                    <a:noFill/>
                    <a:ln>
                      <a:noFill/>
                    </a:ln>
                  </pic:spPr>
                </pic:pic>
              </a:graphicData>
            </a:graphic>
          </wp:inline>
        </w:drawing>
      </w:r>
    </w:p>
    <w:p w14:paraId="31C2168D" w14:textId="377E4904" w:rsidR="001E0F2D" w:rsidRDefault="001E0F2D" w:rsidP="001E0F2D">
      <w:pPr>
        <w:pStyle w:val="Legenda"/>
        <w:keepNext/>
      </w:pPr>
      <w:bookmarkStart w:id="42" w:name="_Ref41906721"/>
      <w:bookmarkStart w:id="43" w:name="_Toc46992142"/>
      <w:r>
        <w:lastRenderedPageBreak/>
        <w:t xml:space="preserve">Figura </w:t>
      </w:r>
      <w:bookmarkStart w:id="44" w:name="Fig_agua_MD_variab_transi_Fe"/>
      <w:r>
        <w:fldChar w:fldCharType="begin"/>
      </w:r>
      <w:r>
        <w:instrText xml:space="preserve"> SEQ Figura \* ARABIC </w:instrText>
      </w:r>
      <w:r>
        <w:fldChar w:fldCharType="separate"/>
      </w:r>
      <w:r w:rsidR="002C014F">
        <w:rPr>
          <w:noProof/>
        </w:rPr>
        <w:t>8</w:t>
      </w:r>
      <w:r>
        <w:rPr>
          <w:noProof/>
        </w:rPr>
        <w:fldChar w:fldCharType="end"/>
      </w:r>
      <w:bookmarkEnd w:id="42"/>
      <w:bookmarkEnd w:id="44"/>
      <w:r>
        <w:t xml:space="preserve"> - </w:t>
      </w:r>
      <w:r w:rsidRPr="00E773C1">
        <w:t>Variabilidade d</w:t>
      </w:r>
      <w:r>
        <w:t>o</w:t>
      </w:r>
      <w:r w:rsidRPr="00E773C1">
        <w:t xml:space="preserve"> </w:t>
      </w:r>
      <w:r>
        <w:t>Fe</w:t>
      </w:r>
      <w:r w:rsidRPr="00E773C1">
        <w:t xml:space="preserve"> em água metais dissolvidos nos sistemas do Rio Guandu, Rio Doce, Lagos e Lagoas.</w:t>
      </w:r>
      <w:bookmarkEnd w:id="43"/>
    </w:p>
    <w:p w14:paraId="7DE7F0F7" w14:textId="77777777" w:rsidR="001E0F2D" w:rsidRDefault="001E0F2D" w:rsidP="001E0F2D">
      <w:pPr>
        <w:jc w:val="center"/>
      </w:pPr>
      <w:r w:rsidRPr="00C146BA">
        <w:rPr>
          <w:noProof/>
          <w:lang w:eastAsia="pt-BR"/>
        </w:rPr>
        <w:drawing>
          <wp:inline distT="0" distB="0" distL="0" distR="0" wp14:anchorId="1150B9F3" wp14:editId="020B960F">
            <wp:extent cx="3730077" cy="7200000"/>
            <wp:effectExtent l="0" t="0" r="3810" b="127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30077" cy="7200000"/>
                    </a:xfrm>
                    <a:prstGeom prst="rect">
                      <a:avLst/>
                    </a:prstGeom>
                    <a:noFill/>
                    <a:ln>
                      <a:noFill/>
                    </a:ln>
                  </pic:spPr>
                </pic:pic>
              </a:graphicData>
            </a:graphic>
          </wp:inline>
        </w:drawing>
      </w:r>
    </w:p>
    <w:p w14:paraId="46143A74" w14:textId="77777777" w:rsidR="001E0F2D" w:rsidRDefault="001E0F2D" w:rsidP="001E0F2D">
      <w:r>
        <w:br w:type="page"/>
      </w:r>
    </w:p>
    <w:p w14:paraId="11133E66" w14:textId="2F19FE42" w:rsidR="001E0F2D" w:rsidRDefault="001E0F2D" w:rsidP="005C2856">
      <w:pPr>
        <w:ind w:firstLine="708"/>
        <w:rPr>
          <w:rFonts w:cstheme="minorHAnsi"/>
        </w:rPr>
      </w:pPr>
      <w:r>
        <w:rPr>
          <w:rFonts w:cstheme="minorHAnsi"/>
        </w:rPr>
        <w:lastRenderedPageBreak/>
        <w:t xml:space="preserve">É possível perceber pela </w:t>
      </w:r>
      <w:r>
        <w:rPr>
          <w:rFonts w:cstheme="minorHAnsi"/>
        </w:rPr>
        <w:fldChar w:fldCharType="begin"/>
      </w:r>
      <w:r>
        <w:rPr>
          <w:rFonts w:cstheme="minorHAnsi"/>
        </w:rPr>
        <w:instrText xml:space="preserve"> REF _Ref41903571 \h </w:instrText>
      </w:r>
      <w:r>
        <w:rPr>
          <w:rFonts w:cstheme="minorHAnsi"/>
        </w:rPr>
      </w:r>
      <w:r>
        <w:rPr>
          <w:rFonts w:cstheme="minorHAnsi"/>
        </w:rPr>
        <w:fldChar w:fldCharType="separate"/>
      </w:r>
      <w:r w:rsidR="002C014F">
        <w:t xml:space="preserve">Figura </w:t>
      </w:r>
      <w:r w:rsidR="002C014F">
        <w:rPr>
          <w:noProof/>
        </w:rPr>
        <w:t>6</w:t>
      </w:r>
      <w:r>
        <w:rPr>
          <w:rFonts w:cstheme="minorHAnsi"/>
        </w:rPr>
        <w:fldChar w:fldCharType="end"/>
      </w:r>
      <w:r>
        <w:rPr>
          <w:rFonts w:cstheme="minorHAnsi"/>
        </w:rPr>
        <w:t xml:space="preserve"> que o Zn apresenta maiores concentrações dentre os elementos minoritários dos ambientes. Seus teores são aproximadamente 20% menores nos ambientes fluviais se comparado aos lagos e lagoas. Contudo, no período de transição houve um aumento de 91% e 49% respectivamente no Rio Guandu e Rio doce, se comparado ao ano 1 do PMBA. Outro destaque para esse conjunto de elementos é a maior concentração de Pb no Rio Guandu</w:t>
      </w:r>
      <w:r w:rsidR="007E1E90">
        <w:rPr>
          <w:rFonts w:cstheme="minorHAnsi"/>
        </w:rPr>
        <w:t>,</w:t>
      </w:r>
      <w:r>
        <w:rPr>
          <w:rFonts w:cstheme="minorHAnsi"/>
        </w:rPr>
        <w:t xml:space="preserve"> se comparado aos demais ambientes. </w:t>
      </w:r>
    </w:p>
    <w:p w14:paraId="2A4D82C2" w14:textId="31E6788D" w:rsidR="001E0F2D" w:rsidRDefault="001E0F2D" w:rsidP="005C2856">
      <w:pPr>
        <w:ind w:firstLine="708"/>
        <w:rPr>
          <w:rFonts w:cstheme="minorHAnsi"/>
        </w:rPr>
      </w:pPr>
      <w:r>
        <w:rPr>
          <w:rFonts w:cstheme="minorHAnsi"/>
        </w:rPr>
        <w:t xml:space="preserve">Já na </w:t>
      </w:r>
      <w:r>
        <w:rPr>
          <w:rFonts w:cstheme="minorHAnsi"/>
        </w:rPr>
        <w:fldChar w:fldCharType="begin"/>
      </w:r>
      <w:r>
        <w:rPr>
          <w:rFonts w:cstheme="minorHAnsi"/>
        </w:rPr>
        <w:instrText xml:space="preserve"> REF _Ref41904126 \h </w:instrText>
      </w:r>
      <w:r>
        <w:rPr>
          <w:rFonts w:cstheme="minorHAnsi"/>
        </w:rPr>
      </w:r>
      <w:r>
        <w:rPr>
          <w:rFonts w:cstheme="minorHAnsi"/>
        </w:rPr>
        <w:fldChar w:fldCharType="separate"/>
      </w:r>
      <w:r w:rsidR="002C014F">
        <w:t xml:space="preserve">Figura </w:t>
      </w:r>
      <w:r w:rsidR="002C014F">
        <w:rPr>
          <w:noProof/>
        </w:rPr>
        <w:t>7</w:t>
      </w:r>
      <w:r>
        <w:rPr>
          <w:rFonts w:cstheme="minorHAnsi"/>
        </w:rPr>
        <w:fldChar w:fldCharType="end"/>
      </w:r>
      <w:r>
        <w:rPr>
          <w:rFonts w:cstheme="minorHAnsi"/>
        </w:rPr>
        <w:t xml:space="preserve"> percebe-se que as concentrações médias de Ba permanecem próximas em todos os ambientes, comportamento similar ao observado no parâmetro de água metais totais. Apenas a variabilidade é maior no ambiente lacustre, se comparado ao fluvial. Contudo, quanto ao Mn, suas médias de concentrações são similares em todos os ambientes, diferentemente do observado para </w:t>
      </w:r>
      <w:r w:rsidR="007E1E90">
        <w:rPr>
          <w:rFonts w:cstheme="minorHAnsi"/>
        </w:rPr>
        <w:t xml:space="preserve"> o parâmetro </w:t>
      </w:r>
      <w:r>
        <w:rPr>
          <w:rFonts w:cstheme="minorHAnsi"/>
        </w:rPr>
        <w:t>água metais totais. Se comparado ao ano 1, as concentrações de Mn dissolvido apresentaram redução em todos os ambientes, podendo chegar a aproximadamente 80% para o ambiente lacustre, mas ainda assim seu teor é 46% nestes ambientes do que no ambiente fluvial. Para o Ba, essa redução somente foi observada no Rio Guandu e Rio Doce, sendo respectivamente 22% e 8%.</w:t>
      </w:r>
    </w:p>
    <w:p w14:paraId="7A9E0CB0" w14:textId="73E1F8EE" w:rsidR="001E0F2D" w:rsidRPr="00C0143B" w:rsidRDefault="00E315C2" w:rsidP="005C2856">
      <w:pPr>
        <w:ind w:firstLine="708"/>
        <w:rPr>
          <w:rFonts w:cstheme="minorHAnsi"/>
        </w:rPr>
      </w:pPr>
      <w:r>
        <w:rPr>
          <w:rFonts w:cstheme="minorHAnsi"/>
        </w:rPr>
        <w:t>Comparando-se as médias das médias de valores lacustres e fluviais, o</w:t>
      </w:r>
      <w:r w:rsidR="001E0F2D">
        <w:rPr>
          <w:rFonts w:cstheme="minorHAnsi"/>
        </w:rPr>
        <w:t xml:space="preserve"> elemento Fe apresenta concentrações mais elevadas, 27%, nos ambientes lacustres</w:t>
      </w:r>
      <w:r>
        <w:rPr>
          <w:rFonts w:cstheme="minorHAnsi"/>
        </w:rPr>
        <w:t xml:space="preserve"> (</w:t>
      </w:r>
      <w:proofErr w:type="spellStart"/>
      <w:r>
        <w:rPr>
          <w:rFonts w:cstheme="minorHAnsi"/>
        </w:rPr>
        <w:t>Lagos+Lagoas</w:t>
      </w:r>
      <w:proofErr w:type="spellEnd"/>
      <w:r>
        <w:rPr>
          <w:rFonts w:cstheme="minorHAnsi"/>
        </w:rPr>
        <w:t>)</w:t>
      </w:r>
      <w:r w:rsidR="001E0F2D">
        <w:rPr>
          <w:rFonts w:cstheme="minorHAnsi"/>
        </w:rPr>
        <w:t xml:space="preserve"> se comparado ao fluvial</w:t>
      </w:r>
      <w:r>
        <w:rPr>
          <w:rFonts w:cstheme="minorHAnsi"/>
        </w:rPr>
        <w:t xml:space="preserve"> (</w:t>
      </w:r>
      <w:proofErr w:type="spellStart"/>
      <w:r>
        <w:rPr>
          <w:rFonts w:cstheme="minorHAnsi"/>
        </w:rPr>
        <w:t>Doce+Guandu</w:t>
      </w:r>
      <w:proofErr w:type="spellEnd"/>
      <w:r>
        <w:rPr>
          <w:rFonts w:cstheme="minorHAnsi"/>
        </w:rPr>
        <w:t>)</w:t>
      </w:r>
      <w:r w:rsidR="001E0F2D">
        <w:rPr>
          <w:rFonts w:cstheme="minorHAnsi"/>
        </w:rPr>
        <w:t xml:space="preserve">, </w:t>
      </w:r>
      <w:r w:rsidR="001E0F2D">
        <w:rPr>
          <w:rFonts w:cstheme="minorHAnsi"/>
        </w:rPr>
        <w:fldChar w:fldCharType="begin"/>
      </w:r>
      <w:r w:rsidR="001E0F2D">
        <w:rPr>
          <w:rFonts w:cstheme="minorHAnsi"/>
        </w:rPr>
        <w:instrText xml:space="preserve"> REF _Ref41906721 \h </w:instrText>
      </w:r>
      <w:r w:rsidR="001E0F2D">
        <w:rPr>
          <w:rFonts w:cstheme="minorHAnsi"/>
        </w:rPr>
      </w:r>
      <w:r w:rsidR="001E0F2D">
        <w:rPr>
          <w:rFonts w:cstheme="minorHAnsi"/>
        </w:rPr>
        <w:fldChar w:fldCharType="separate"/>
      </w:r>
      <w:r w:rsidR="002C014F">
        <w:t xml:space="preserve">Figura </w:t>
      </w:r>
      <w:r w:rsidR="002C014F">
        <w:rPr>
          <w:noProof/>
        </w:rPr>
        <w:t>8</w:t>
      </w:r>
      <w:r w:rsidR="001E0F2D">
        <w:rPr>
          <w:rFonts w:cstheme="minorHAnsi"/>
        </w:rPr>
        <w:fldChar w:fldCharType="end"/>
      </w:r>
      <w:r w:rsidR="001E0F2D">
        <w:rPr>
          <w:rFonts w:cstheme="minorHAnsi"/>
        </w:rPr>
        <w:t xml:space="preserve">. Porém, essa diferença se deve principalmente aos maiores teores encontrados nas </w:t>
      </w:r>
      <w:r>
        <w:rPr>
          <w:rFonts w:cstheme="minorHAnsi"/>
        </w:rPr>
        <w:t>L</w:t>
      </w:r>
      <w:r w:rsidR="001E0F2D">
        <w:rPr>
          <w:rFonts w:cstheme="minorHAnsi"/>
        </w:rPr>
        <w:t xml:space="preserve">agoas, sendo que os </w:t>
      </w:r>
      <w:r>
        <w:rPr>
          <w:rFonts w:cstheme="minorHAnsi"/>
        </w:rPr>
        <w:t>L</w:t>
      </w:r>
      <w:r w:rsidR="001E0F2D">
        <w:rPr>
          <w:rFonts w:cstheme="minorHAnsi"/>
        </w:rPr>
        <w:t>agos apresentam concentrações similares ao Rio Guandu e Rio Doce, porém seus teores são 21% maiores nesse período se comparado ao ano 1. Para o Rio Guandu, a média de concentração de ferro dissolvido permaneceu praticamente inalterada em relação ao ano 1, já para o Rio Doce, houve um pequeno aumento de 8%.</w:t>
      </w:r>
    </w:p>
    <w:p w14:paraId="1C59AF54" w14:textId="6B823BB7" w:rsidR="00B94B38" w:rsidRDefault="001E0F2D" w:rsidP="005C2856">
      <w:pPr>
        <w:ind w:firstLine="708"/>
      </w:pPr>
      <w:r>
        <w:t xml:space="preserve">Para as não conformidades observadas nas amostras dos parâmetros de metais totais, apenas Cu e Fe apresentam valores referência segundo CONAMA e os percentuais de amostras não conformes para esses elementos estão apresentados na </w:t>
      </w:r>
      <w:r>
        <w:fldChar w:fldCharType="begin"/>
      </w:r>
      <w:r>
        <w:instrText xml:space="preserve"> REF _Ref41908649 \h </w:instrText>
      </w:r>
      <w:r>
        <w:fldChar w:fldCharType="separate"/>
      </w:r>
      <w:r w:rsidR="002C014F">
        <w:t xml:space="preserve">Tabela </w:t>
      </w:r>
      <w:r w:rsidR="002C014F">
        <w:rPr>
          <w:noProof/>
        </w:rPr>
        <w:t>6</w:t>
      </w:r>
      <w:r>
        <w:fldChar w:fldCharType="end"/>
      </w:r>
      <w:r>
        <w:t>. É possível perceber um comportamento inverso entre eles, ou seja, durante o período mais chuvoso há um aumento de não conformidades para o Fe e diminuição para o Cu, sendo que no período de seca isso se inverte. Contudo, é possível perceber pel</w:t>
      </w:r>
      <w:r w:rsidR="00E315C2">
        <w:t>os dados da</w:t>
      </w:r>
      <w:r>
        <w:t xml:space="preserve"> </w:t>
      </w:r>
      <w:r>
        <w:fldChar w:fldCharType="begin"/>
      </w:r>
      <w:r>
        <w:instrText xml:space="preserve"> REF _Ref41909381 \h </w:instrText>
      </w:r>
      <w:r>
        <w:fldChar w:fldCharType="separate"/>
      </w:r>
      <w:r w:rsidR="002C014F">
        <w:t xml:space="preserve">Figura </w:t>
      </w:r>
      <w:r w:rsidR="002C014F">
        <w:rPr>
          <w:noProof/>
        </w:rPr>
        <w:t>9</w:t>
      </w:r>
      <w:r>
        <w:fldChar w:fldCharType="end"/>
      </w:r>
      <w:r w:rsidR="00E315C2">
        <w:t>,</w:t>
      </w:r>
      <w:r>
        <w:t xml:space="preserve"> que as amostras que apresentaram não conformidades para Cu no período de seca são aquelas com concentrações anômalas e que os ambientes com maiores contribuições para aumentar o percentual de não conformidade para o Fe no período chuvoso são o Rio Doce e as </w:t>
      </w:r>
      <w:r w:rsidR="00E315C2">
        <w:t>L</w:t>
      </w:r>
      <w:r>
        <w:t>agoas.</w:t>
      </w:r>
      <w:r w:rsidR="00E315C2">
        <w:t xml:space="preserve"> Durante o período de transição, há de se considerar dois efeitos antagônicos, o de diluição devido à inserção de água da chuva no ambiente, reduzindo concentrações, e o da lixiviação de metais devido ao revolvimento dos sedimentos do fundo do rio causado pela chuva, aumentando as concentrações. </w:t>
      </w:r>
    </w:p>
    <w:p w14:paraId="71DDAF21" w14:textId="77777777" w:rsidR="00B94B38" w:rsidRDefault="00B94B38">
      <w:pPr>
        <w:spacing w:before="0" w:line="259" w:lineRule="auto"/>
        <w:jc w:val="left"/>
      </w:pPr>
      <w:r>
        <w:br w:type="page"/>
      </w:r>
    </w:p>
    <w:p w14:paraId="42031DD6" w14:textId="18C2BDE0" w:rsidR="001E0F2D" w:rsidRDefault="001E0F2D" w:rsidP="001E0F2D">
      <w:pPr>
        <w:pStyle w:val="Legenda"/>
        <w:keepNext/>
      </w:pPr>
      <w:bookmarkStart w:id="45" w:name="_Ref41908649"/>
      <w:bookmarkStart w:id="46" w:name="_Toc46992181"/>
      <w:r>
        <w:lastRenderedPageBreak/>
        <w:t xml:space="preserve">Tabela </w:t>
      </w:r>
      <w:fldSimple w:instr=" SEQ Tabela \* ARABIC ">
        <w:r w:rsidR="002C014F">
          <w:rPr>
            <w:noProof/>
          </w:rPr>
          <w:t>6</w:t>
        </w:r>
      </w:fldSimple>
      <w:bookmarkEnd w:id="45"/>
      <w:r>
        <w:t xml:space="preserve"> - </w:t>
      </w:r>
      <w:r w:rsidRPr="00765823">
        <w:t xml:space="preserve">Percentual de não conformidades na água para </w:t>
      </w:r>
      <w:r>
        <w:t xml:space="preserve">Fe e Cu </w:t>
      </w:r>
      <w:r w:rsidRPr="00765823">
        <w:t xml:space="preserve">no parâmetro de metais </w:t>
      </w:r>
      <w:r>
        <w:t>dissolvidos</w:t>
      </w:r>
      <w:r w:rsidRPr="00765823">
        <w:t xml:space="preserve"> comparado aos limites CONAMA classe 2</w:t>
      </w:r>
      <w:bookmarkEnd w:id="46"/>
    </w:p>
    <w:tbl>
      <w:tblPr>
        <w:tblStyle w:val="Tabelacomgrade"/>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1099"/>
        <w:gridCol w:w="2251"/>
        <w:gridCol w:w="2123"/>
        <w:gridCol w:w="2175"/>
      </w:tblGrid>
      <w:tr w:rsidR="001E0F2D" w:rsidRPr="001E0F2D" w14:paraId="10E33683" w14:textId="77777777" w:rsidTr="001E0F2D">
        <w:trPr>
          <w:tblHeader/>
          <w:jc w:val="center"/>
        </w:trPr>
        <w:tc>
          <w:tcPr>
            <w:tcW w:w="784" w:type="pct"/>
            <w:vMerge w:val="restart"/>
            <w:tcBorders>
              <w:top w:val="single" w:sz="4" w:space="0" w:color="auto"/>
              <w:bottom w:val="nil"/>
            </w:tcBorders>
            <w:vAlign w:val="center"/>
          </w:tcPr>
          <w:p w14:paraId="0C9C75A2" w14:textId="77777777" w:rsidR="001E0F2D" w:rsidRPr="001E0F2D" w:rsidRDefault="001E0F2D" w:rsidP="001E0F2D">
            <w:pPr>
              <w:spacing w:before="0"/>
              <w:jc w:val="center"/>
              <w:rPr>
                <w:rFonts w:cstheme="minorHAnsi"/>
                <w:b/>
                <w:bCs/>
              </w:rPr>
            </w:pPr>
            <w:r w:rsidRPr="001E0F2D">
              <w:rPr>
                <w:rFonts w:cstheme="minorHAnsi"/>
                <w:b/>
                <w:bCs/>
              </w:rPr>
              <w:t>Elemento</w:t>
            </w:r>
          </w:p>
        </w:tc>
        <w:tc>
          <w:tcPr>
            <w:tcW w:w="606" w:type="pct"/>
            <w:vMerge w:val="restart"/>
            <w:tcBorders>
              <w:top w:val="single" w:sz="4" w:space="0" w:color="auto"/>
              <w:bottom w:val="nil"/>
            </w:tcBorders>
            <w:vAlign w:val="center"/>
          </w:tcPr>
          <w:p w14:paraId="695987FD" w14:textId="77777777" w:rsidR="001E0F2D" w:rsidRPr="001E0F2D" w:rsidRDefault="001E0F2D" w:rsidP="001E0F2D">
            <w:pPr>
              <w:spacing w:before="0"/>
              <w:jc w:val="center"/>
              <w:rPr>
                <w:rFonts w:cstheme="minorHAnsi"/>
                <w:b/>
                <w:bCs/>
              </w:rPr>
            </w:pPr>
            <w:r w:rsidRPr="001E0F2D">
              <w:rPr>
                <w:rFonts w:cstheme="minorHAnsi"/>
                <w:b/>
                <w:bCs/>
              </w:rPr>
              <w:t>Limite</w:t>
            </w:r>
          </w:p>
          <w:p w14:paraId="2AC2E155" w14:textId="77777777" w:rsidR="001E0F2D" w:rsidRPr="001E0F2D" w:rsidRDefault="001E0F2D" w:rsidP="001E0F2D">
            <w:pPr>
              <w:spacing w:before="0"/>
              <w:jc w:val="center"/>
              <w:rPr>
                <w:rFonts w:cstheme="minorHAnsi"/>
                <w:b/>
                <w:bCs/>
              </w:rPr>
            </w:pPr>
            <w:r w:rsidRPr="001E0F2D">
              <w:rPr>
                <w:rFonts w:cstheme="minorHAnsi"/>
                <w:b/>
                <w:bCs/>
              </w:rPr>
              <w:t>(µg L</w:t>
            </w:r>
            <w:r w:rsidRPr="001E0F2D">
              <w:rPr>
                <w:rFonts w:cstheme="minorHAnsi"/>
                <w:b/>
                <w:bCs/>
                <w:vertAlign w:val="superscript"/>
              </w:rPr>
              <w:t>-1</w:t>
            </w:r>
            <w:r w:rsidRPr="001E0F2D">
              <w:rPr>
                <w:rFonts w:cstheme="minorHAnsi"/>
                <w:b/>
                <w:bCs/>
              </w:rPr>
              <w:t>)</w:t>
            </w:r>
          </w:p>
        </w:tc>
        <w:tc>
          <w:tcPr>
            <w:tcW w:w="3610" w:type="pct"/>
            <w:gridSpan w:val="3"/>
            <w:tcBorders>
              <w:top w:val="single" w:sz="4" w:space="0" w:color="auto"/>
              <w:bottom w:val="nil"/>
            </w:tcBorders>
            <w:vAlign w:val="center"/>
          </w:tcPr>
          <w:p w14:paraId="114B4D5A" w14:textId="77777777" w:rsidR="001E0F2D" w:rsidRPr="001E0F2D" w:rsidRDefault="001E0F2D" w:rsidP="001E0F2D">
            <w:pPr>
              <w:spacing w:before="0"/>
              <w:jc w:val="center"/>
              <w:rPr>
                <w:rFonts w:cstheme="minorHAnsi"/>
                <w:b/>
                <w:bCs/>
              </w:rPr>
            </w:pPr>
            <w:r w:rsidRPr="001E0F2D">
              <w:rPr>
                <w:rFonts w:cstheme="minorHAnsi"/>
                <w:b/>
                <w:bCs/>
              </w:rPr>
              <w:t>Não conformidades – CONAMA classe 2</w:t>
            </w:r>
          </w:p>
        </w:tc>
      </w:tr>
      <w:tr w:rsidR="001E0F2D" w:rsidRPr="001E0F2D" w14:paraId="6F1178FA" w14:textId="77777777" w:rsidTr="001E0F2D">
        <w:trPr>
          <w:tblHeader/>
          <w:jc w:val="center"/>
        </w:trPr>
        <w:tc>
          <w:tcPr>
            <w:tcW w:w="784" w:type="pct"/>
            <w:vMerge/>
            <w:tcBorders>
              <w:top w:val="nil"/>
              <w:bottom w:val="single" w:sz="4" w:space="0" w:color="auto"/>
            </w:tcBorders>
            <w:vAlign w:val="center"/>
          </w:tcPr>
          <w:p w14:paraId="77AEF7A2" w14:textId="77777777" w:rsidR="001E0F2D" w:rsidRPr="001E0F2D" w:rsidRDefault="001E0F2D" w:rsidP="001E0F2D">
            <w:pPr>
              <w:spacing w:before="0"/>
              <w:jc w:val="center"/>
              <w:rPr>
                <w:rFonts w:cstheme="minorHAnsi"/>
                <w:b/>
                <w:bCs/>
              </w:rPr>
            </w:pPr>
          </w:p>
        </w:tc>
        <w:tc>
          <w:tcPr>
            <w:tcW w:w="606" w:type="pct"/>
            <w:vMerge/>
            <w:tcBorders>
              <w:top w:val="nil"/>
              <w:bottom w:val="single" w:sz="4" w:space="0" w:color="auto"/>
            </w:tcBorders>
            <w:vAlign w:val="center"/>
          </w:tcPr>
          <w:p w14:paraId="0E5EFCF6" w14:textId="77777777" w:rsidR="001E0F2D" w:rsidRPr="001E0F2D" w:rsidRDefault="001E0F2D" w:rsidP="001E0F2D">
            <w:pPr>
              <w:spacing w:before="0"/>
              <w:jc w:val="center"/>
              <w:rPr>
                <w:rFonts w:cstheme="minorHAnsi"/>
                <w:b/>
                <w:bCs/>
              </w:rPr>
            </w:pPr>
          </w:p>
        </w:tc>
        <w:tc>
          <w:tcPr>
            <w:tcW w:w="1241" w:type="pct"/>
            <w:tcBorders>
              <w:top w:val="nil"/>
              <w:bottom w:val="single" w:sz="4" w:space="0" w:color="auto"/>
            </w:tcBorders>
            <w:vAlign w:val="center"/>
          </w:tcPr>
          <w:p w14:paraId="6D1B2DA0" w14:textId="77777777" w:rsidR="001E0F2D" w:rsidRPr="001E0F2D" w:rsidRDefault="001E0F2D" w:rsidP="001E0F2D">
            <w:pPr>
              <w:spacing w:before="0"/>
              <w:jc w:val="center"/>
              <w:rPr>
                <w:rFonts w:cstheme="minorHAnsi"/>
                <w:b/>
                <w:bCs/>
              </w:rPr>
            </w:pPr>
            <w:r w:rsidRPr="001E0F2D">
              <w:rPr>
                <w:rFonts w:cstheme="minorHAnsi"/>
                <w:b/>
                <w:bCs/>
              </w:rPr>
              <w:t>out/18 a mar/19</w:t>
            </w:r>
          </w:p>
        </w:tc>
        <w:tc>
          <w:tcPr>
            <w:tcW w:w="1170" w:type="pct"/>
            <w:tcBorders>
              <w:top w:val="nil"/>
              <w:bottom w:val="single" w:sz="4" w:space="0" w:color="auto"/>
            </w:tcBorders>
            <w:vAlign w:val="center"/>
          </w:tcPr>
          <w:p w14:paraId="46B23F2C" w14:textId="77777777" w:rsidR="001E0F2D" w:rsidRPr="001E0F2D" w:rsidRDefault="001E0F2D" w:rsidP="001E0F2D">
            <w:pPr>
              <w:spacing w:before="0"/>
              <w:jc w:val="center"/>
              <w:rPr>
                <w:rFonts w:cstheme="minorHAnsi"/>
                <w:b/>
                <w:bCs/>
              </w:rPr>
            </w:pPr>
            <w:proofErr w:type="spellStart"/>
            <w:r w:rsidRPr="001E0F2D">
              <w:rPr>
                <w:rFonts w:cstheme="minorHAnsi"/>
                <w:b/>
                <w:bCs/>
              </w:rPr>
              <w:t>abr</w:t>
            </w:r>
            <w:proofErr w:type="spellEnd"/>
            <w:r w:rsidRPr="001E0F2D">
              <w:rPr>
                <w:rFonts w:cstheme="minorHAnsi"/>
                <w:b/>
                <w:bCs/>
              </w:rPr>
              <w:t>/19 a set/19</w:t>
            </w:r>
          </w:p>
        </w:tc>
        <w:tc>
          <w:tcPr>
            <w:tcW w:w="1199" w:type="pct"/>
            <w:tcBorders>
              <w:top w:val="nil"/>
              <w:bottom w:val="single" w:sz="4" w:space="0" w:color="auto"/>
            </w:tcBorders>
            <w:vAlign w:val="center"/>
          </w:tcPr>
          <w:p w14:paraId="3F2E5220" w14:textId="77777777" w:rsidR="001E0F2D" w:rsidRPr="001E0F2D" w:rsidRDefault="001E0F2D" w:rsidP="001E0F2D">
            <w:pPr>
              <w:spacing w:before="0"/>
              <w:jc w:val="center"/>
              <w:rPr>
                <w:rFonts w:cstheme="minorHAnsi"/>
                <w:b/>
                <w:bCs/>
              </w:rPr>
            </w:pPr>
            <w:proofErr w:type="spellStart"/>
            <w:r w:rsidRPr="001E0F2D">
              <w:rPr>
                <w:rFonts w:cstheme="minorHAnsi"/>
                <w:b/>
                <w:bCs/>
              </w:rPr>
              <w:t>nov</w:t>
            </w:r>
            <w:proofErr w:type="spellEnd"/>
            <w:r w:rsidRPr="001E0F2D">
              <w:rPr>
                <w:rFonts w:cstheme="minorHAnsi"/>
                <w:b/>
                <w:bCs/>
              </w:rPr>
              <w:t xml:space="preserve">/19 a </w:t>
            </w:r>
            <w:proofErr w:type="spellStart"/>
            <w:r w:rsidRPr="001E0F2D">
              <w:rPr>
                <w:rFonts w:cstheme="minorHAnsi"/>
                <w:b/>
                <w:bCs/>
              </w:rPr>
              <w:t>fev</w:t>
            </w:r>
            <w:proofErr w:type="spellEnd"/>
            <w:r w:rsidRPr="001E0F2D">
              <w:rPr>
                <w:rFonts w:cstheme="minorHAnsi"/>
                <w:b/>
                <w:bCs/>
              </w:rPr>
              <w:t>/20</w:t>
            </w:r>
          </w:p>
        </w:tc>
      </w:tr>
      <w:tr w:rsidR="001E0F2D" w14:paraId="01D6C5DB" w14:textId="77777777" w:rsidTr="00B94B38">
        <w:trPr>
          <w:jc w:val="center"/>
        </w:trPr>
        <w:tc>
          <w:tcPr>
            <w:tcW w:w="784" w:type="pct"/>
            <w:vAlign w:val="center"/>
          </w:tcPr>
          <w:p w14:paraId="0C5B097B" w14:textId="77777777" w:rsidR="001E0F2D" w:rsidRDefault="001E0F2D" w:rsidP="001E0F2D">
            <w:pPr>
              <w:spacing w:before="0"/>
              <w:jc w:val="center"/>
              <w:rPr>
                <w:rFonts w:cstheme="minorHAnsi"/>
              </w:rPr>
            </w:pPr>
            <w:r>
              <w:rPr>
                <w:rFonts w:cstheme="minorHAnsi"/>
              </w:rPr>
              <w:t>Cu</w:t>
            </w:r>
          </w:p>
        </w:tc>
        <w:tc>
          <w:tcPr>
            <w:tcW w:w="606" w:type="pct"/>
            <w:vAlign w:val="center"/>
          </w:tcPr>
          <w:p w14:paraId="1B877480" w14:textId="77777777" w:rsidR="001E0F2D" w:rsidRDefault="001E0F2D" w:rsidP="001E0F2D">
            <w:pPr>
              <w:spacing w:before="0"/>
              <w:jc w:val="center"/>
              <w:rPr>
                <w:rFonts w:cstheme="minorHAnsi"/>
              </w:rPr>
            </w:pPr>
            <w:r>
              <w:rPr>
                <w:rFonts w:cstheme="minorHAnsi"/>
              </w:rPr>
              <w:t>9,0</w:t>
            </w:r>
          </w:p>
        </w:tc>
        <w:tc>
          <w:tcPr>
            <w:tcW w:w="1241" w:type="pct"/>
            <w:vAlign w:val="center"/>
          </w:tcPr>
          <w:p w14:paraId="368D0A8C" w14:textId="77777777" w:rsidR="001E0F2D" w:rsidRDefault="001E0F2D" w:rsidP="001E0F2D">
            <w:pPr>
              <w:spacing w:before="0"/>
              <w:jc w:val="center"/>
              <w:rPr>
                <w:rFonts w:cstheme="minorHAnsi"/>
              </w:rPr>
            </w:pPr>
            <w:r>
              <w:rPr>
                <w:rFonts w:cstheme="minorHAnsi"/>
              </w:rPr>
              <w:t>0,0%</w:t>
            </w:r>
          </w:p>
        </w:tc>
        <w:tc>
          <w:tcPr>
            <w:tcW w:w="1170" w:type="pct"/>
            <w:vAlign w:val="center"/>
          </w:tcPr>
          <w:p w14:paraId="5BDA719A" w14:textId="77777777" w:rsidR="001E0F2D" w:rsidRDefault="001E0F2D" w:rsidP="001E0F2D">
            <w:pPr>
              <w:spacing w:before="0"/>
              <w:jc w:val="center"/>
              <w:rPr>
                <w:rFonts w:cstheme="minorHAnsi"/>
              </w:rPr>
            </w:pPr>
            <w:r>
              <w:rPr>
                <w:rFonts w:cstheme="minorHAnsi"/>
              </w:rPr>
              <w:t>2,0%</w:t>
            </w:r>
          </w:p>
        </w:tc>
        <w:tc>
          <w:tcPr>
            <w:tcW w:w="1199" w:type="pct"/>
            <w:vAlign w:val="center"/>
          </w:tcPr>
          <w:p w14:paraId="66450B7E" w14:textId="77777777" w:rsidR="001E0F2D" w:rsidRDefault="001E0F2D" w:rsidP="001E0F2D">
            <w:pPr>
              <w:spacing w:before="0"/>
              <w:jc w:val="center"/>
              <w:rPr>
                <w:rFonts w:cstheme="minorHAnsi"/>
              </w:rPr>
            </w:pPr>
            <w:r>
              <w:rPr>
                <w:rFonts w:cstheme="minorHAnsi"/>
              </w:rPr>
              <w:t>0,0%</w:t>
            </w:r>
          </w:p>
        </w:tc>
      </w:tr>
      <w:tr w:rsidR="001E0F2D" w14:paraId="73A896FE" w14:textId="77777777" w:rsidTr="00B94B38">
        <w:trPr>
          <w:jc w:val="center"/>
        </w:trPr>
        <w:tc>
          <w:tcPr>
            <w:tcW w:w="784" w:type="pct"/>
            <w:vAlign w:val="center"/>
          </w:tcPr>
          <w:p w14:paraId="2771174F" w14:textId="77777777" w:rsidR="001E0F2D" w:rsidRDefault="001E0F2D" w:rsidP="001E0F2D">
            <w:pPr>
              <w:spacing w:before="0"/>
              <w:jc w:val="center"/>
              <w:rPr>
                <w:rFonts w:cstheme="minorHAnsi"/>
              </w:rPr>
            </w:pPr>
            <w:r>
              <w:rPr>
                <w:rFonts w:cstheme="minorHAnsi"/>
              </w:rPr>
              <w:t>Fe</w:t>
            </w:r>
          </w:p>
        </w:tc>
        <w:tc>
          <w:tcPr>
            <w:tcW w:w="606" w:type="pct"/>
            <w:vAlign w:val="center"/>
          </w:tcPr>
          <w:p w14:paraId="389806BF" w14:textId="77777777" w:rsidR="001E0F2D" w:rsidRDefault="001E0F2D" w:rsidP="001E0F2D">
            <w:pPr>
              <w:spacing w:before="0"/>
              <w:jc w:val="center"/>
              <w:rPr>
                <w:rFonts w:cstheme="minorHAnsi"/>
              </w:rPr>
            </w:pPr>
            <w:r>
              <w:rPr>
                <w:rFonts w:cstheme="minorHAnsi"/>
              </w:rPr>
              <w:t>300</w:t>
            </w:r>
          </w:p>
        </w:tc>
        <w:tc>
          <w:tcPr>
            <w:tcW w:w="1241" w:type="pct"/>
            <w:vAlign w:val="center"/>
          </w:tcPr>
          <w:p w14:paraId="3B479E16" w14:textId="77777777" w:rsidR="001E0F2D" w:rsidRDefault="001E0F2D" w:rsidP="001E0F2D">
            <w:pPr>
              <w:spacing w:before="0"/>
              <w:jc w:val="center"/>
              <w:rPr>
                <w:rFonts w:cstheme="minorHAnsi"/>
              </w:rPr>
            </w:pPr>
            <w:r>
              <w:rPr>
                <w:rFonts w:cstheme="minorHAnsi"/>
              </w:rPr>
              <w:t>39,3%</w:t>
            </w:r>
          </w:p>
        </w:tc>
        <w:tc>
          <w:tcPr>
            <w:tcW w:w="1170" w:type="pct"/>
            <w:vAlign w:val="center"/>
          </w:tcPr>
          <w:p w14:paraId="45887D85" w14:textId="77777777" w:rsidR="001E0F2D" w:rsidRDefault="001E0F2D" w:rsidP="001E0F2D">
            <w:pPr>
              <w:spacing w:before="0"/>
              <w:jc w:val="center"/>
              <w:rPr>
                <w:rFonts w:cstheme="minorHAnsi"/>
              </w:rPr>
            </w:pPr>
            <w:r>
              <w:rPr>
                <w:rFonts w:cstheme="minorHAnsi"/>
              </w:rPr>
              <w:t>18,6%</w:t>
            </w:r>
          </w:p>
        </w:tc>
        <w:tc>
          <w:tcPr>
            <w:tcW w:w="1199" w:type="pct"/>
            <w:vAlign w:val="center"/>
          </w:tcPr>
          <w:p w14:paraId="204434C1" w14:textId="77777777" w:rsidR="001E0F2D" w:rsidRDefault="001E0F2D" w:rsidP="001E0F2D">
            <w:pPr>
              <w:spacing w:before="0"/>
              <w:jc w:val="center"/>
              <w:rPr>
                <w:rFonts w:cstheme="minorHAnsi"/>
              </w:rPr>
            </w:pPr>
            <w:r>
              <w:rPr>
                <w:rFonts w:cstheme="minorHAnsi"/>
              </w:rPr>
              <w:t>34,4%</w:t>
            </w:r>
          </w:p>
        </w:tc>
      </w:tr>
    </w:tbl>
    <w:p w14:paraId="25B58809" w14:textId="77777777" w:rsidR="001E0F2D" w:rsidRDefault="001E0F2D" w:rsidP="001E0F2D"/>
    <w:p w14:paraId="40307B30" w14:textId="6870A1D2" w:rsidR="001E0F2D" w:rsidRDefault="001E0F2D" w:rsidP="005C2856">
      <w:pPr>
        <w:ind w:firstLine="708"/>
      </w:pPr>
      <w:r>
        <w:t>As avaliações segundo os limites estabelecidos pela NOAA crônico são os mesmos já apresentados anteriormente no parâmetro de água metais totais (</w:t>
      </w:r>
      <w:r>
        <w:fldChar w:fldCharType="begin"/>
      </w:r>
      <w:r>
        <w:instrText xml:space="preserve"> REF _Ref41819427 \h </w:instrText>
      </w:r>
      <w:r>
        <w:fldChar w:fldCharType="separate"/>
      </w:r>
      <w:r w:rsidR="002C014F">
        <w:t xml:space="preserve">Tabela </w:t>
      </w:r>
      <w:r w:rsidR="002C014F">
        <w:rPr>
          <w:noProof/>
        </w:rPr>
        <w:t>3</w:t>
      </w:r>
      <w:r>
        <w:fldChar w:fldCharType="end"/>
      </w:r>
      <w:r>
        <w:t>), já que não há distinção de limites para metais totais e metais dissolvidos, segundo essa regulamentação.</w:t>
      </w:r>
    </w:p>
    <w:p w14:paraId="1EF2C9F0" w14:textId="632D1F82" w:rsidR="001E0F2D" w:rsidRDefault="001E0F2D" w:rsidP="005C2856">
      <w:pPr>
        <w:ind w:firstLine="708"/>
      </w:pPr>
      <w:r>
        <w:t>Se comparado os valores de Fe e Cu do PMBA no período de transição com os valores reportados pelo IEMA durante o monitoramento emergencial realizado antes da passagem da pluma de rejeitos no Rio Doce (</w:t>
      </w:r>
      <w:r w:rsidRPr="00391DB5">
        <w:rPr>
          <w:rFonts w:cs="Arial"/>
          <w:szCs w:val="20"/>
        </w:rPr>
        <w:t>09/11/2015 a 18/11/2015</w:t>
      </w:r>
      <w:r>
        <w:rPr>
          <w:rFonts w:cs="Arial"/>
          <w:szCs w:val="20"/>
        </w:rPr>
        <w:t>)</w:t>
      </w:r>
      <w:r w:rsidR="00E315C2">
        <w:rPr>
          <w:rFonts w:cs="Arial"/>
          <w:szCs w:val="20"/>
        </w:rPr>
        <w:t>,</w:t>
      </w:r>
      <w:r>
        <w:rPr>
          <w:rFonts w:cs="Arial"/>
          <w:szCs w:val="20"/>
        </w:rPr>
        <w:t xml:space="preserve"> o Fe dissolvido apresentou valores de média maiores que os limites de quantificação de cada programa, estando 228% maior atualmente.</w:t>
      </w:r>
    </w:p>
    <w:p w14:paraId="3B64ACC5" w14:textId="77777777" w:rsidR="001E0F2D" w:rsidRDefault="001E0F2D" w:rsidP="001E0F2D"/>
    <w:p w14:paraId="2044D15E" w14:textId="77777777" w:rsidR="001E0F2D" w:rsidRDefault="001E0F2D" w:rsidP="001E0F2D">
      <w:pPr>
        <w:sectPr w:rsidR="001E0F2D" w:rsidSect="00F3091D">
          <w:headerReference w:type="default" r:id="rId24"/>
          <w:pgSz w:w="11906" w:h="16838"/>
          <w:pgMar w:top="1701" w:right="1134" w:bottom="1134" w:left="1701" w:header="680" w:footer="567" w:gutter="0"/>
          <w:cols w:space="708"/>
          <w:docGrid w:linePitch="360"/>
        </w:sectPr>
      </w:pPr>
    </w:p>
    <w:p w14:paraId="0B20C7C9" w14:textId="61396FE2" w:rsidR="001E0F2D" w:rsidRDefault="001E0F2D" w:rsidP="001E0F2D">
      <w:pPr>
        <w:pStyle w:val="Legenda"/>
        <w:keepNext/>
      </w:pPr>
      <w:bookmarkStart w:id="47" w:name="_Ref41909381"/>
      <w:bookmarkStart w:id="48" w:name="_Toc46992143"/>
      <w:r>
        <w:lastRenderedPageBreak/>
        <w:t xml:space="preserve">Figura </w:t>
      </w:r>
      <w:fldSimple w:instr=" SEQ Figura \* ARABIC ">
        <w:r w:rsidR="002C014F">
          <w:rPr>
            <w:noProof/>
          </w:rPr>
          <w:t>9</w:t>
        </w:r>
      </w:fldSimple>
      <w:bookmarkEnd w:id="47"/>
      <w:r>
        <w:t xml:space="preserve"> - </w:t>
      </w:r>
      <w:r w:rsidRPr="00746912">
        <w:t>Variabilidade por ambiente para Cu e</w:t>
      </w:r>
      <w:r>
        <w:t xml:space="preserve"> Fe</w:t>
      </w:r>
      <w:r w:rsidRPr="00746912">
        <w:t xml:space="preserve">. em água no parâmetro de metais </w:t>
      </w:r>
      <w:r>
        <w:t>dissolvidos.</w:t>
      </w:r>
      <w:bookmarkEnd w:id="48"/>
    </w:p>
    <w:p w14:paraId="039D2C2F" w14:textId="77777777" w:rsidR="001E0F2D" w:rsidRDefault="001E0F2D" w:rsidP="001E0F2D">
      <w:pPr>
        <w:jc w:val="center"/>
        <w:sectPr w:rsidR="001E0F2D" w:rsidSect="00F3091D">
          <w:headerReference w:type="default" r:id="rId25"/>
          <w:pgSz w:w="16838" w:h="11906" w:orient="landscape"/>
          <w:pgMar w:top="1701" w:right="1134" w:bottom="1134" w:left="1417" w:header="680" w:footer="567" w:gutter="0"/>
          <w:cols w:space="708"/>
          <w:docGrid w:linePitch="360"/>
        </w:sectPr>
      </w:pPr>
    </w:p>
    <w:p w14:paraId="3FB4C976" w14:textId="77777777" w:rsidR="001E0F2D" w:rsidRDefault="001E0F2D" w:rsidP="001E0F2D">
      <w:pPr>
        <w:jc w:val="center"/>
      </w:pPr>
      <w:r w:rsidRPr="00F6352D">
        <w:rPr>
          <w:noProof/>
          <w:lang w:eastAsia="pt-BR"/>
        </w:rPr>
        <w:drawing>
          <wp:inline distT="0" distB="0" distL="0" distR="0" wp14:anchorId="0178C2EE" wp14:editId="0B43D2F6">
            <wp:extent cx="2424550" cy="4680000"/>
            <wp:effectExtent l="0" t="0" r="0" b="635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424550" cy="4680000"/>
                    </a:xfrm>
                    <a:prstGeom prst="rect">
                      <a:avLst/>
                    </a:prstGeom>
                    <a:noFill/>
                    <a:ln>
                      <a:noFill/>
                    </a:ln>
                  </pic:spPr>
                </pic:pic>
              </a:graphicData>
            </a:graphic>
          </wp:inline>
        </w:drawing>
      </w:r>
      <w:r>
        <w:br w:type="column"/>
      </w:r>
      <w:r w:rsidRPr="00F6352D">
        <w:rPr>
          <w:noProof/>
          <w:lang w:eastAsia="pt-BR"/>
        </w:rPr>
        <w:drawing>
          <wp:inline distT="0" distB="0" distL="0" distR="0" wp14:anchorId="38BFEB29" wp14:editId="14729D24">
            <wp:extent cx="2425019" cy="4680000"/>
            <wp:effectExtent l="0" t="0" r="0" b="635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425019" cy="4680000"/>
                    </a:xfrm>
                    <a:prstGeom prst="rect">
                      <a:avLst/>
                    </a:prstGeom>
                    <a:noFill/>
                    <a:ln>
                      <a:noFill/>
                    </a:ln>
                  </pic:spPr>
                </pic:pic>
              </a:graphicData>
            </a:graphic>
          </wp:inline>
        </w:drawing>
      </w:r>
    </w:p>
    <w:p w14:paraId="15A18B29" w14:textId="77777777" w:rsidR="001E0F2D" w:rsidRDefault="001E0F2D" w:rsidP="001E0F2D">
      <w:pPr>
        <w:sectPr w:rsidR="001E0F2D" w:rsidSect="00F3091D">
          <w:type w:val="continuous"/>
          <w:pgSz w:w="16838" w:h="11906" w:orient="landscape"/>
          <w:pgMar w:top="1701" w:right="1134" w:bottom="1134" w:left="1417" w:header="708" w:footer="708" w:gutter="0"/>
          <w:cols w:num="2" w:space="708"/>
          <w:docGrid w:linePitch="360"/>
        </w:sectPr>
      </w:pPr>
    </w:p>
    <w:p w14:paraId="00874A7C" w14:textId="5D7AE2DE" w:rsidR="00EC0C73" w:rsidRPr="00EC0C73" w:rsidRDefault="00EC0C73" w:rsidP="00EC0C73">
      <w:pPr>
        <w:pStyle w:val="Ttulo2"/>
      </w:pPr>
      <w:bookmarkStart w:id="49" w:name="_Toc46992117"/>
      <w:r w:rsidRPr="00EC0C73">
        <w:lastRenderedPageBreak/>
        <w:t>ORGÂNICOS EM ÁGUA</w:t>
      </w:r>
      <w:bookmarkEnd w:id="49"/>
      <w:r w:rsidRPr="00EC0C73">
        <w:tab/>
      </w:r>
    </w:p>
    <w:p w14:paraId="61411AA3" w14:textId="03623E98" w:rsidR="00EC0C73" w:rsidRDefault="00EC0C73" w:rsidP="00EC0C73">
      <w:pPr>
        <w:ind w:firstLine="708"/>
        <w:rPr>
          <w:rFonts w:cs="Arial"/>
          <w:szCs w:val="20"/>
        </w:rPr>
      </w:pPr>
      <w:r>
        <w:rPr>
          <w:rFonts w:cs="Arial"/>
          <w:szCs w:val="20"/>
        </w:rPr>
        <w:t>Dando prosseguimento aos estudos de quantificação dos compostos orgânicos em águas e sedimentos, foi realizada a quantificação de contaminantes importantes como pesticidas, hidrocarbonetos alifáticos e hidrocarbonetos poliaromáticos (HPAs), bifenilas policlorados (PCBs), esteróis e éter-aminas. Simultaneamente houve a implantação do ensaio de quantificação de fenóis (21 tipos de compostos desta família)</w:t>
      </w:r>
      <w:r w:rsidR="00846ECA">
        <w:rPr>
          <w:rFonts w:cs="Arial"/>
          <w:szCs w:val="20"/>
        </w:rPr>
        <w:t xml:space="preserve"> que </w:t>
      </w:r>
      <w:r>
        <w:rPr>
          <w:rFonts w:cs="Arial"/>
          <w:szCs w:val="20"/>
        </w:rPr>
        <w:t>ainda não havia sido realizado</w:t>
      </w:r>
      <w:r w:rsidR="00846ECA">
        <w:rPr>
          <w:rFonts w:cs="Arial"/>
          <w:szCs w:val="20"/>
        </w:rPr>
        <w:t xml:space="preserve"> </w:t>
      </w:r>
      <w:r>
        <w:rPr>
          <w:rFonts w:cs="Arial"/>
          <w:szCs w:val="20"/>
        </w:rPr>
        <w:t>por problemas na aquisição de padrões. Exceto as éter aminas, todos os poluentes orgânicos foram escolhidos por sua toxicidade e pelo grande potencial de ser pelas atividades antropogênicas ao longo da Bacia do Rio Doce, podendo impactar os seres vivos das regiões estudadas. No caso das éter-aminas, estas foram escolhidas por serem consideradas potenciais marcadores do desastre de Mariana, uma vez que estes compostos são comumente usados no processo de flotação do minério de ferro.</w:t>
      </w:r>
    </w:p>
    <w:p w14:paraId="19A7C3C6" w14:textId="02429C4E" w:rsidR="00EC0C73" w:rsidRPr="00931A07" w:rsidRDefault="00EC0C73" w:rsidP="00EC0C73">
      <w:pPr>
        <w:ind w:firstLine="708"/>
        <w:rPr>
          <w:rFonts w:cs="Arial"/>
          <w:szCs w:val="20"/>
        </w:rPr>
      </w:pPr>
      <w:r w:rsidRPr="00931A07">
        <w:rPr>
          <w:rFonts w:cs="Arial"/>
          <w:szCs w:val="20"/>
        </w:rPr>
        <w:t xml:space="preserve">Para avaliação temporal do Ano 1 e do período de transição, agruparam-se as amostras em três períodos, dos quais out/18 a mar/19 (6 </w:t>
      </w:r>
      <w:r w:rsidR="00C012E9">
        <w:rPr>
          <w:rFonts w:cs="Arial"/>
          <w:szCs w:val="20"/>
        </w:rPr>
        <w:t>Campanhas</w:t>
      </w:r>
      <w:r w:rsidRPr="00931A07">
        <w:rPr>
          <w:rFonts w:cs="Arial"/>
          <w:szCs w:val="20"/>
        </w:rPr>
        <w:t xml:space="preserve">) </w:t>
      </w:r>
      <w:r>
        <w:rPr>
          <w:rFonts w:cs="Arial"/>
          <w:szCs w:val="20"/>
        </w:rPr>
        <w:t xml:space="preserve">é a </w:t>
      </w:r>
      <w:r w:rsidRPr="00931A07">
        <w:rPr>
          <w:rFonts w:cs="Arial"/>
          <w:szCs w:val="20"/>
        </w:rPr>
        <w:t xml:space="preserve">estação chuvosa e </w:t>
      </w:r>
      <w:proofErr w:type="spellStart"/>
      <w:r w:rsidRPr="00931A07">
        <w:rPr>
          <w:rFonts w:cs="Arial"/>
          <w:szCs w:val="20"/>
        </w:rPr>
        <w:t>abr</w:t>
      </w:r>
      <w:proofErr w:type="spellEnd"/>
      <w:r w:rsidRPr="00931A07">
        <w:rPr>
          <w:rFonts w:cs="Arial"/>
          <w:szCs w:val="20"/>
        </w:rPr>
        <w:t xml:space="preserve">/19 a set/19 (6 </w:t>
      </w:r>
      <w:r w:rsidR="00C012E9">
        <w:rPr>
          <w:rFonts w:cs="Arial"/>
          <w:szCs w:val="20"/>
        </w:rPr>
        <w:t>Campanhas</w:t>
      </w:r>
      <w:r w:rsidRPr="00931A07">
        <w:rPr>
          <w:rFonts w:cs="Arial"/>
          <w:szCs w:val="20"/>
        </w:rPr>
        <w:t xml:space="preserve">) </w:t>
      </w:r>
      <w:r>
        <w:rPr>
          <w:rFonts w:cs="Arial"/>
          <w:szCs w:val="20"/>
        </w:rPr>
        <w:t xml:space="preserve">é a </w:t>
      </w:r>
      <w:r w:rsidRPr="00931A07">
        <w:rPr>
          <w:rFonts w:cs="Arial"/>
          <w:szCs w:val="20"/>
        </w:rPr>
        <w:t xml:space="preserve">estação de estiagem </w:t>
      </w:r>
      <w:r>
        <w:rPr>
          <w:rFonts w:cs="Arial"/>
          <w:szCs w:val="20"/>
        </w:rPr>
        <w:t>referentes</w:t>
      </w:r>
      <w:r w:rsidRPr="00931A07">
        <w:rPr>
          <w:rFonts w:cs="Arial"/>
          <w:szCs w:val="20"/>
        </w:rPr>
        <w:t xml:space="preserve"> ao Ano 1</w:t>
      </w:r>
      <w:r>
        <w:rPr>
          <w:rFonts w:cs="Arial"/>
          <w:szCs w:val="20"/>
        </w:rPr>
        <w:t>; além disto, as amostras d</w:t>
      </w:r>
      <w:r w:rsidR="00E82D9E">
        <w:rPr>
          <w:rFonts w:cs="Arial"/>
          <w:szCs w:val="20"/>
        </w:rPr>
        <w:t xml:space="preserve">e </w:t>
      </w:r>
      <w:proofErr w:type="spellStart"/>
      <w:r w:rsidR="00E82D9E">
        <w:rPr>
          <w:rFonts w:cs="Arial"/>
          <w:szCs w:val="20"/>
        </w:rPr>
        <w:t>nov</w:t>
      </w:r>
      <w:proofErr w:type="spellEnd"/>
      <w:r w:rsidR="00E82D9E">
        <w:rPr>
          <w:rFonts w:cs="Arial"/>
          <w:szCs w:val="20"/>
        </w:rPr>
        <w:t xml:space="preserve">/19 a </w:t>
      </w:r>
      <w:proofErr w:type="spellStart"/>
      <w:r w:rsidR="00E82D9E">
        <w:rPr>
          <w:rFonts w:cs="Arial"/>
          <w:szCs w:val="20"/>
        </w:rPr>
        <w:t>Fev</w:t>
      </w:r>
      <w:proofErr w:type="spellEnd"/>
      <w:r w:rsidRPr="00931A07">
        <w:rPr>
          <w:rFonts w:cs="Arial"/>
          <w:szCs w:val="20"/>
        </w:rPr>
        <w:t>/</w:t>
      </w:r>
      <w:r w:rsidR="00E82D9E">
        <w:rPr>
          <w:rFonts w:cs="Arial"/>
          <w:szCs w:val="20"/>
        </w:rPr>
        <w:t>2020 (4</w:t>
      </w:r>
      <w:r w:rsidRPr="00931A07">
        <w:rPr>
          <w:rFonts w:cs="Arial"/>
          <w:szCs w:val="20"/>
        </w:rPr>
        <w:t xml:space="preserve"> </w:t>
      </w:r>
      <w:r w:rsidR="00C012E9">
        <w:rPr>
          <w:rFonts w:cs="Arial"/>
          <w:szCs w:val="20"/>
        </w:rPr>
        <w:t>Campanhas</w:t>
      </w:r>
      <w:r w:rsidRPr="00931A07">
        <w:rPr>
          <w:rFonts w:cs="Arial"/>
          <w:szCs w:val="20"/>
        </w:rPr>
        <w:t>) corresponde</w:t>
      </w:r>
      <w:r>
        <w:rPr>
          <w:rFonts w:cs="Arial"/>
          <w:szCs w:val="20"/>
        </w:rPr>
        <w:t>m</w:t>
      </w:r>
      <w:r w:rsidRPr="00931A07">
        <w:rPr>
          <w:rFonts w:cs="Arial"/>
          <w:szCs w:val="20"/>
        </w:rPr>
        <w:t xml:space="preserve"> aos dados parciais da estação chuvosa do ano de transição, com uma intensidade de precipitação pluviométrica maior do que a primeira. </w:t>
      </w:r>
      <w:r>
        <w:rPr>
          <w:rFonts w:cs="Arial"/>
          <w:szCs w:val="20"/>
        </w:rPr>
        <w:t>Objetivando uma</w:t>
      </w:r>
      <w:r w:rsidRPr="00931A07">
        <w:rPr>
          <w:rFonts w:cs="Arial"/>
          <w:szCs w:val="20"/>
        </w:rPr>
        <w:t xml:space="preserve"> avaliação espacial, agruparam-se as estações em quatro ambientes: Rio Guandu (estação 17), Rio Doce (estações 0, 21,</w:t>
      </w:r>
      <w:r>
        <w:rPr>
          <w:rFonts w:cs="Arial"/>
          <w:szCs w:val="20"/>
        </w:rPr>
        <w:t xml:space="preserve"> </w:t>
      </w:r>
      <w:r w:rsidRPr="00931A07">
        <w:rPr>
          <w:rFonts w:cs="Arial"/>
          <w:szCs w:val="20"/>
        </w:rPr>
        <w:t>22,26), Lagos (estações 18, 19 e 20) e Lagoas (estações 23, 24,25,25a).</w:t>
      </w:r>
      <w:r w:rsidR="00846ECA">
        <w:rPr>
          <w:rFonts w:cs="Arial"/>
          <w:szCs w:val="20"/>
        </w:rPr>
        <w:t xml:space="preserve"> Para todos os</w:t>
      </w:r>
      <w:r>
        <w:rPr>
          <w:rFonts w:cs="Arial"/>
          <w:szCs w:val="20"/>
        </w:rPr>
        <w:t xml:space="preserve"> contaminantes orgânicos serão apresentados os resultados tipo box </w:t>
      </w:r>
      <w:proofErr w:type="spellStart"/>
      <w:r>
        <w:rPr>
          <w:rFonts w:cs="Arial"/>
          <w:szCs w:val="20"/>
        </w:rPr>
        <w:t>plot</w:t>
      </w:r>
      <w:proofErr w:type="spellEnd"/>
      <w:r>
        <w:rPr>
          <w:rFonts w:cs="Arial"/>
          <w:szCs w:val="20"/>
        </w:rPr>
        <w:t xml:space="preserve"> para os três blocos temporais, em cada ambiente.</w:t>
      </w:r>
    </w:p>
    <w:p w14:paraId="40A32172" w14:textId="45E485C7" w:rsidR="00EC0C73" w:rsidRPr="00EC0C73" w:rsidRDefault="00EC0C73" w:rsidP="00EC0C73">
      <w:pPr>
        <w:pStyle w:val="Ttulo3"/>
      </w:pPr>
      <w:bookmarkStart w:id="50" w:name="_Toc46992118"/>
      <w:r w:rsidRPr="00EC0C73">
        <w:t>Éter-aminas e aminas</w:t>
      </w:r>
      <w:bookmarkEnd w:id="50"/>
      <w:r w:rsidRPr="00EC0C73">
        <w:tab/>
      </w:r>
    </w:p>
    <w:p w14:paraId="4D46DF24" w14:textId="77777777" w:rsidR="00EC0C73" w:rsidRPr="00371BB0" w:rsidRDefault="00EC0C73" w:rsidP="00EC0C73">
      <w:pPr>
        <w:ind w:firstLine="708"/>
        <w:rPr>
          <w:rFonts w:cs="Arial"/>
          <w:szCs w:val="20"/>
        </w:rPr>
      </w:pPr>
      <w:r w:rsidRPr="00371BB0">
        <w:rPr>
          <w:rFonts w:cs="Arial"/>
          <w:szCs w:val="20"/>
        </w:rPr>
        <w:t>Estudos estão sendo realizados na tentativa de sugerir outras aminas de interesse que pudessem estar associadas ao desastre de Mariana, assim como os seus produtos de degradação, visto que as aminas propostas para o ANO 1 não foram encontradas em nenhumas das amostras analisadas.</w:t>
      </w:r>
    </w:p>
    <w:p w14:paraId="32EB41EB" w14:textId="6AED0A78" w:rsidR="00EC0C73" w:rsidRPr="00EC0C73" w:rsidRDefault="00EC0C73" w:rsidP="00EC0C73">
      <w:pPr>
        <w:pStyle w:val="Ttulo3"/>
      </w:pPr>
      <w:bookmarkStart w:id="51" w:name="_Toc46992119"/>
      <w:proofErr w:type="spellStart"/>
      <w:r w:rsidRPr="00EC0C73">
        <w:t>Bifenilos</w:t>
      </w:r>
      <w:proofErr w:type="spellEnd"/>
      <w:r w:rsidRPr="00EC0C73">
        <w:t xml:space="preserve"> policlorados – PCBs</w:t>
      </w:r>
      <w:bookmarkEnd w:id="51"/>
    </w:p>
    <w:p w14:paraId="064CA60C" w14:textId="77777777" w:rsidR="00EC0C73" w:rsidRPr="00371BB0" w:rsidRDefault="00EC0C73" w:rsidP="00EC0C73">
      <w:pPr>
        <w:ind w:firstLine="708"/>
        <w:rPr>
          <w:rFonts w:cs="Arial"/>
          <w:szCs w:val="20"/>
        </w:rPr>
      </w:pPr>
      <w:r w:rsidRPr="00371BB0">
        <w:rPr>
          <w:rFonts w:cs="Arial"/>
          <w:szCs w:val="20"/>
        </w:rPr>
        <w:t>Analis</w:t>
      </w:r>
      <w:r>
        <w:rPr>
          <w:rFonts w:cs="Arial"/>
          <w:szCs w:val="20"/>
        </w:rPr>
        <w:t>aram</w:t>
      </w:r>
      <w:r w:rsidRPr="00371BB0">
        <w:rPr>
          <w:rFonts w:cs="Arial"/>
          <w:szCs w:val="20"/>
        </w:rPr>
        <w:t>-se as amostras de água até a 14</w:t>
      </w:r>
      <w:r w:rsidRPr="00A57DAB">
        <w:rPr>
          <w:rFonts w:cs="Arial"/>
          <w:szCs w:val="20"/>
          <w:vertAlign w:val="superscript"/>
        </w:rPr>
        <w:t>a</w:t>
      </w:r>
      <w:r w:rsidRPr="00371BB0">
        <w:rPr>
          <w:rFonts w:cs="Arial"/>
          <w:szCs w:val="20"/>
        </w:rPr>
        <w:t xml:space="preserve"> campanha, totalizando 235 amostras, das quais 34 são do ano de transição, conforme a metodologia de determinação de PCBs proposta no Ano 1. Os </w:t>
      </w:r>
      <w:r>
        <w:rPr>
          <w:rFonts w:cs="Arial"/>
          <w:szCs w:val="20"/>
        </w:rPr>
        <w:t>sete</w:t>
      </w:r>
      <w:r w:rsidRPr="00371BB0">
        <w:rPr>
          <w:rFonts w:cs="Arial"/>
          <w:szCs w:val="20"/>
        </w:rPr>
        <w:t xml:space="preserve"> PCBs avaliados no período de transição </w:t>
      </w:r>
      <w:r>
        <w:rPr>
          <w:rFonts w:cs="Arial"/>
          <w:szCs w:val="20"/>
        </w:rPr>
        <w:t>não foram alterados, são eles:</w:t>
      </w:r>
      <w:r w:rsidRPr="00371BB0">
        <w:rPr>
          <w:rFonts w:cs="Arial"/>
          <w:szCs w:val="20"/>
        </w:rPr>
        <w:t xml:space="preserve"> PCB028, PCB052, PCB101, PCB118, PCB138, PCB153, PCB180. </w:t>
      </w:r>
    </w:p>
    <w:p w14:paraId="458ACD63" w14:textId="6A56CED4" w:rsidR="00EC0C73" w:rsidRDefault="00EC0C73" w:rsidP="00EC0C73">
      <w:pPr>
        <w:ind w:firstLine="708"/>
        <w:rPr>
          <w:rFonts w:cs="Arial"/>
          <w:szCs w:val="20"/>
        </w:rPr>
      </w:pPr>
      <w:r w:rsidRPr="00371BB0">
        <w:rPr>
          <w:rFonts w:cs="Arial"/>
          <w:szCs w:val="20"/>
        </w:rPr>
        <w:t>A</w:t>
      </w:r>
      <w:r w:rsidR="00161564">
        <w:rPr>
          <w:rFonts w:cs="Arial"/>
          <w:szCs w:val="20"/>
        </w:rPr>
        <w:t xml:space="preserve"> </w:t>
      </w:r>
      <w:r w:rsidR="00161564">
        <w:rPr>
          <w:rFonts w:cs="Arial"/>
          <w:szCs w:val="20"/>
        </w:rPr>
        <w:fldChar w:fldCharType="begin"/>
      </w:r>
      <w:r w:rsidR="00161564">
        <w:rPr>
          <w:rFonts w:cs="Arial"/>
          <w:szCs w:val="20"/>
        </w:rPr>
        <w:instrText xml:space="preserve"> REF _Ref42074103 \h </w:instrText>
      </w:r>
      <w:r w:rsidR="00161564">
        <w:rPr>
          <w:rFonts w:cs="Arial"/>
          <w:szCs w:val="20"/>
        </w:rPr>
      </w:r>
      <w:r w:rsidR="00161564">
        <w:rPr>
          <w:rFonts w:cs="Arial"/>
          <w:szCs w:val="20"/>
        </w:rPr>
        <w:fldChar w:fldCharType="separate"/>
      </w:r>
      <w:r w:rsidR="002C014F">
        <w:t xml:space="preserve">Figura </w:t>
      </w:r>
      <w:r w:rsidR="002C014F">
        <w:rPr>
          <w:noProof/>
        </w:rPr>
        <w:t>10</w:t>
      </w:r>
      <w:r w:rsidR="00161564">
        <w:rPr>
          <w:rFonts w:cs="Arial"/>
          <w:szCs w:val="20"/>
        </w:rPr>
        <w:fldChar w:fldCharType="end"/>
      </w:r>
      <w:r w:rsidRPr="00371BB0">
        <w:rPr>
          <w:rFonts w:cs="Arial"/>
          <w:szCs w:val="20"/>
        </w:rPr>
        <w:t xml:space="preserve"> apresenta o gráfico </w:t>
      </w:r>
      <w:r>
        <w:rPr>
          <w:rFonts w:cs="Arial"/>
          <w:szCs w:val="20"/>
        </w:rPr>
        <w:t>tipo</w:t>
      </w:r>
      <w:r w:rsidRPr="00371BB0">
        <w:rPr>
          <w:rFonts w:cs="Arial"/>
          <w:szCs w:val="20"/>
        </w:rPr>
        <w:t xml:space="preserve"> box-</w:t>
      </w:r>
      <w:proofErr w:type="spellStart"/>
      <w:r w:rsidRPr="00371BB0">
        <w:rPr>
          <w:rFonts w:cs="Arial"/>
          <w:szCs w:val="20"/>
        </w:rPr>
        <w:t>plot</w:t>
      </w:r>
      <w:proofErr w:type="spellEnd"/>
      <w:r w:rsidRPr="00371BB0">
        <w:rPr>
          <w:rFonts w:cs="Arial"/>
          <w:szCs w:val="20"/>
        </w:rPr>
        <w:t xml:space="preserve"> para os PCBs totais (somatória dos 7 PCBs analisados) em água nos diferentes ambientes ao longo dos três períodos</w:t>
      </w:r>
      <w:r w:rsidR="00846ECA">
        <w:rPr>
          <w:rFonts w:cs="Arial"/>
          <w:szCs w:val="20"/>
        </w:rPr>
        <w:t xml:space="preserve"> (</w:t>
      </w:r>
      <w:r>
        <w:rPr>
          <w:rFonts w:cs="Arial"/>
          <w:szCs w:val="20"/>
        </w:rPr>
        <w:t>seca e chuvoso do ano 1 e chuvoso da transição)</w:t>
      </w:r>
      <w:r w:rsidRPr="00371BB0">
        <w:rPr>
          <w:rFonts w:cs="Arial"/>
          <w:szCs w:val="20"/>
        </w:rPr>
        <w:t xml:space="preserve">. Percebe-se que houve um aumento da variabilidade das concentrações de PCBs totais no período de </w:t>
      </w:r>
      <w:r>
        <w:rPr>
          <w:rFonts w:cs="Arial"/>
          <w:szCs w:val="20"/>
        </w:rPr>
        <w:t>t</w:t>
      </w:r>
      <w:r w:rsidRPr="00371BB0">
        <w:rPr>
          <w:rFonts w:cs="Arial"/>
          <w:szCs w:val="20"/>
        </w:rPr>
        <w:t>ransição quando comparado ao Ano 1, especialmente no ambiente Rio Doce e Rio Guandu</w:t>
      </w:r>
      <w:r>
        <w:rPr>
          <w:rFonts w:cs="Arial"/>
          <w:szCs w:val="20"/>
        </w:rPr>
        <w:t>. E</w:t>
      </w:r>
      <w:r w:rsidRPr="00371BB0">
        <w:rPr>
          <w:rFonts w:cs="Arial"/>
          <w:szCs w:val="20"/>
        </w:rPr>
        <w:t>ntretanto</w:t>
      </w:r>
      <w:r>
        <w:rPr>
          <w:rFonts w:cs="Arial"/>
          <w:szCs w:val="20"/>
        </w:rPr>
        <w:t>,</w:t>
      </w:r>
      <w:r w:rsidRPr="00371BB0">
        <w:rPr>
          <w:rFonts w:cs="Arial"/>
          <w:szCs w:val="20"/>
        </w:rPr>
        <w:t xml:space="preserve"> o valor mediano das concentrações diminu</w:t>
      </w:r>
      <w:r>
        <w:rPr>
          <w:rFonts w:cs="Arial"/>
          <w:szCs w:val="20"/>
        </w:rPr>
        <w:t>iu</w:t>
      </w:r>
      <w:r w:rsidRPr="00371BB0">
        <w:rPr>
          <w:rFonts w:cs="Arial"/>
          <w:szCs w:val="20"/>
        </w:rPr>
        <w:t xml:space="preserve"> do </w:t>
      </w:r>
      <w:r>
        <w:rPr>
          <w:rFonts w:cs="Arial"/>
          <w:szCs w:val="20"/>
        </w:rPr>
        <w:t>a</w:t>
      </w:r>
      <w:r w:rsidRPr="00371BB0">
        <w:rPr>
          <w:rFonts w:cs="Arial"/>
          <w:szCs w:val="20"/>
        </w:rPr>
        <w:t>no de transição</w:t>
      </w:r>
      <w:r>
        <w:rPr>
          <w:rFonts w:cs="Arial"/>
          <w:szCs w:val="20"/>
        </w:rPr>
        <w:t>,</w:t>
      </w:r>
      <w:r w:rsidRPr="00371BB0">
        <w:rPr>
          <w:rFonts w:cs="Arial"/>
          <w:szCs w:val="20"/>
        </w:rPr>
        <w:t xml:space="preserve"> </w:t>
      </w:r>
      <w:r w:rsidRPr="00371BB0">
        <w:rPr>
          <w:rFonts w:cs="Arial"/>
          <w:szCs w:val="20"/>
        </w:rPr>
        <w:lastRenderedPageBreak/>
        <w:t xml:space="preserve">quando comparado com o Ano 1. Uma hipótese para esse comportamento são as intensas chuvas ocorridas no período chuvoso do </w:t>
      </w:r>
      <w:r>
        <w:rPr>
          <w:rFonts w:cs="Arial"/>
          <w:szCs w:val="20"/>
        </w:rPr>
        <w:t>a</w:t>
      </w:r>
      <w:r w:rsidRPr="00371BB0">
        <w:rPr>
          <w:rFonts w:cs="Arial"/>
          <w:szCs w:val="20"/>
        </w:rPr>
        <w:t>no de transição</w:t>
      </w:r>
      <w:r>
        <w:rPr>
          <w:rFonts w:cs="Arial"/>
          <w:szCs w:val="20"/>
        </w:rPr>
        <w:t>,</w:t>
      </w:r>
      <w:r w:rsidRPr="00371BB0">
        <w:rPr>
          <w:rFonts w:cs="Arial"/>
          <w:szCs w:val="20"/>
        </w:rPr>
        <w:t xml:space="preserve"> especialmente nos Rios</w:t>
      </w:r>
      <w:r>
        <w:rPr>
          <w:rFonts w:cs="Arial"/>
          <w:szCs w:val="20"/>
        </w:rPr>
        <w:t xml:space="preserve">, podendo </w:t>
      </w:r>
      <w:r w:rsidRPr="00371BB0">
        <w:rPr>
          <w:rFonts w:cs="Arial"/>
          <w:szCs w:val="20"/>
        </w:rPr>
        <w:t>contribu</w:t>
      </w:r>
      <w:r>
        <w:rPr>
          <w:rFonts w:cs="Arial"/>
          <w:szCs w:val="20"/>
        </w:rPr>
        <w:t xml:space="preserve">ir </w:t>
      </w:r>
      <w:r w:rsidRPr="00371BB0">
        <w:rPr>
          <w:rFonts w:cs="Arial"/>
          <w:szCs w:val="20"/>
        </w:rPr>
        <w:t xml:space="preserve">com a variação dos valores de PCBs e a diminuição dos valores medianos de concentração. </w:t>
      </w:r>
    </w:p>
    <w:p w14:paraId="0FC83CB8" w14:textId="15E61BAE" w:rsidR="005C2856" w:rsidRDefault="005C2856" w:rsidP="005C2856">
      <w:pPr>
        <w:ind w:firstLine="708"/>
        <w:rPr>
          <w:iCs/>
          <w:sz w:val="16"/>
          <w:szCs w:val="18"/>
        </w:rPr>
      </w:pPr>
      <w:r w:rsidRPr="00371BB0">
        <w:rPr>
          <w:rFonts w:cs="Arial"/>
          <w:szCs w:val="20"/>
        </w:rPr>
        <w:t xml:space="preserve">Avaliando-se espacialmente o </w:t>
      </w:r>
      <w:r>
        <w:rPr>
          <w:rFonts w:cs="Arial"/>
          <w:szCs w:val="20"/>
        </w:rPr>
        <w:t>a</w:t>
      </w:r>
      <w:r w:rsidRPr="00371BB0">
        <w:rPr>
          <w:rFonts w:cs="Arial"/>
          <w:szCs w:val="20"/>
        </w:rPr>
        <w:t>no de transição ao longo dos ambientes, por meio da</w:t>
      </w:r>
      <w:r w:rsidR="00D40C3A">
        <w:rPr>
          <w:rFonts w:cs="Arial"/>
          <w:szCs w:val="20"/>
        </w:rPr>
        <w:t xml:space="preserve"> </w:t>
      </w:r>
      <w:r>
        <w:rPr>
          <w:rFonts w:cs="Arial"/>
          <w:szCs w:val="20"/>
        </w:rPr>
        <w:fldChar w:fldCharType="begin"/>
      </w:r>
      <w:r>
        <w:rPr>
          <w:rFonts w:cs="Arial"/>
          <w:szCs w:val="20"/>
        </w:rPr>
        <w:instrText xml:space="preserve"> REF _Ref42074185 \h </w:instrText>
      </w:r>
      <w:r>
        <w:rPr>
          <w:rFonts w:cs="Arial"/>
          <w:szCs w:val="20"/>
        </w:rPr>
      </w:r>
      <w:r>
        <w:rPr>
          <w:rFonts w:cs="Arial"/>
          <w:szCs w:val="20"/>
        </w:rPr>
        <w:fldChar w:fldCharType="separate"/>
      </w:r>
      <w:r w:rsidR="002C014F">
        <w:t xml:space="preserve">Figura </w:t>
      </w:r>
      <w:r w:rsidR="002C014F">
        <w:rPr>
          <w:noProof/>
        </w:rPr>
        <w:t>11</w:t>
      </w:r>
      <w:r>
        <w:rPr>
          <w:rFonts w:cs="Arial"/>
          <w:szCs w:val="20"/>
        </w:rPr>
        <w:fldChar w:fldCharType="end"/>
      </w:r>
      <w:r w:rsidRPr="00371BB0">
        <w:rPr>
          <w:rFonts w:cs="Arial"/>
          <w:szCs w:val="20"/>
        </w:rPr>
        <w:t>,</w:t>
      </w:r>
      <w:r>
        <w:rPr>
          <w:rFonts w:cs="Arial"/>
          <w:szCs w:val="20"/>
        </w:rPr>
        <w:t xml:space="preserve"> </w:t>
      </w:r>
      <w:r w:rsidRPr="00371BB0">
        <w:rPr>
          <w:rFonts w:cs="Arial"/>
          <w:szCs w:val="20"/>
        </w:rPr>
        <w:t>verificou-se que os ambientes Rio Doce</w:t>
      </w:r>
      <w:r>
        <w:rPr>
          <w:rFonts w:cs="Arial"/>
          <w:szCs w:val="20"/>
        </w:rPr>
        <w:t xml:space="preserve"> e Rio Guandu</w:t>
      </w:r>
      <w:r w:rsidRPr="00371BB0">
        <w:rPr>
          <w:rFonts w:cs="Arial"/>
          <w:szCs w:val="20"/>
        </w:rPr>
        <w:t xml:space="preserve"> apresentaram as maiores concentrações destas espécies em relação aos demais ambientes. Verificou-se também que a distribuição de PCBs em todos os ambientes comportou com uma grande variabilidade de concentrações, com exceção do PCB 052 em Lagos e Lagoas. </w:t>
      </w:r>
    </w:p>
    <w:p w14:paraId="51BFF10E" w14:textId="77777777" w:rsidR="005C2856" w:rsidRDefault="005C2856" w:rsidP="00EC0C73">
      <w:pPr>
        <w:ind w:firstLine="708"/>
        <w:rPr>
          <w:rFonts w:cs="Arial"/>
          <w:szCs w:val="20"/>
        </w:rPr>
      </w:pPr>
    </w:p>
    <w:p w14:paraId="78F61D30" w14:textId="74F895D7" w:rsidR="00EC0C73" w:rsidRDefault="00EC0C73" w:rsidP="00EC0C73">
      <w:pPr>
        <w:pStyle w:val="Legenda"/>
        <w:keepNext/>
        <w:rPr>
          <w:noProof/>
          <w:lang w:eastAsia="pt-BR"/>
        </w:rPr>
      </w:pPr>
      <w:bookmarkStart w:id="52" w:name="_Ref42074103"/>
      <w:bookmarkStart w:id="53" w:name="_Toc46992144"/>
      <w:r>
        <w:lastRenderedPageBreak/>
        <w:t xml:space="preserve">Figura </w:t>
      </w:r>
      <w:fldSimple w:instr=" SEQ Figura \* ARABIC ">
        <w:r w:rsidR="002C014F">
          <w:rPr>
            <w:noProof/>
          </w:rPr>
          <w:t>10</w:t>
        </w:r>
      </w:fldSimple>
      <w:bookmarkEnd w:id="52"/>
      <w:r>
        <w:t xml:space="preserve"> - </w:t>
      </w:r>
      <w:r w:rsidRPr="000C2FC7">
        <w:t xml:space="preserve">Variabilidade das concentrações de diferentes </w:t>
      </w:r>
      <w:r>
        <w:t xml:space="preserve">PCBs nas 235 amostras de água analisadas das 12 estações de coleta, agrupadas em ambientes Rio Guandu, Rio Doce, Lagos e Lagoas ao longo dos períodos out/18 a mar/2019 (período chuvoso- ANO 1), </w:t>
      </w:r>
      <w:proofErr w:type="spellStart"/>
      <w:r>
        <w:t>abr</w:t>
      </w:r>
      <w:proofErr w:type="spellEnd"/>
      <w:r>
        <w:t xml:space="preserve">/19 a set/2019 (período de estiagem- ANO 1) e </w:t>
      </w:r>
      <w:proofErr w:type="spellStart"/>
      <w:r>
        <w:t>nov</w:t>
      </w:r>
      <w:proofErr w:type="spellEnd"/>
      <w:r>
        <w:t>/19 a dez/2019 (período chuvoso- ANO de transição).</w:t>
      </w:r>
      <w:bookmarkEnd w:id="53"/>
      <w:r w:rsidRPr="00525022">
        <w:rPr>
          <w:noProof/>
          <w:lang w:eastAsia="pt-BR"/>
        </w:rPr>
        <w:t xml:space="preserve"> </w:t>
      </w:r>
    </w:p>
    <w:p w14:paraId="14CAAC8E" w14:textId="77777777" w:rsidR="00EC0C73" w:rsidRPr="004355E4" w:rsidRDefault="00EC0C73" w:rsidP="00EC0C73">
      <w:pPr>
        <w:jc w:val="center"/>
        <w:rPr>
          <w:lang w:eastAsia="pt-BR"/>
        </w:rPr>
      </w:pPr>
      <w:r>
        <w:rPr>
          <w:noProof/>
          <w:lang w:eastAsia="pt-BR"/>
        </w:rPr>
        <w:drawing>
          <wp:inline distT="0" distB="0" distL="0" distR="0" wp14:anchorId="7F0D2EE4" wp14:editId="4F575A1E">
            <wp:extent cx="3952875" cy="6840000"/>
            <wp:effectExtent l="0" t="0" r="0" b="0"/>
            <wp:docPr id="2" name="Imagem 2"/>
            <wp:cNvGraphicFramePr/>
            <a:graphic xmlns:a="http://schemas.openxmlformats.org/drawingml/2006/main">
              <a:graphicData uri="http://schemas.openxmlformats.org/drawingml/2006/picture">
                <pic:pic xmlns:pic="http://schemas.openxmlformats.org/drawingml/2006/picture">
                  <pic:nvPicPr>
                    <pic:cNvPr id="2" name="Imagem 2"/>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52875" cy="6840000"/>
                    </a:xfrm>
                    <a:prstGeom prst="rect">
                      <a:avLst/>
                    </a:prstGeom>
                    <a:noFill/>
                    <a:ln>
                      <a:noFill/>
                    </a:ln>
                  </pic:spPr>
                </pic:pic>
              </a:graphicData>
            </a:graphic>
          </wp:inline>
        </w:drawing>
      </w:r>
    </w:p>
    <w:p w14:paraId="4D754811" w14:textId="1ED72DCC" w:rsidR="00EC0C73" w:rsidRDefault="00EC0C73" w:rsidP="00CF3145">
      <w:pPr>
        <w:pStyle w:val="Legenda"/>
        <w:keepNext/>
      </w:pPr>
      <w:bookmarkStart w:id="54" w:name="_Ref42074185"/>
      <w:bookmarkStart w:id="55" w:name="_Toc46992145"/>
      <w:r>
        <w:lastRenderedPageBreak/>
        <w:t xml:space="preserve">Figura </w:t>
      </w:r>
      <w:fldSimple w:instr=" SEQ Figura \* ARABIC ">
        <w:r w:rsidR="002C014F">
          <w:rPr>
            <w:noProof/>
          </w:rPr>
          <w:t>11</w:t>
        </w:r>
      </w:fldSimple>
      <w:bookmarkEnd w:id="54"/>
      <w:r>
        <w:t xml:space="preserve"> - Variabilidade das concentrações de diferentes PCBs nas 34 amostras de água analisadas no período de transição (</w:t>
      </w:r>
      <w:proofErr w:type="spellStart"/>
      <w:r>
        <w:t>nov</w:t>
      </w:r>
      <w:proofErr w:type="spellEnd"/>
      <w:r>
        <w:t xml:space="preserve">/2019 dez/2019) em diferentes ambientes (Rio </w:t>
      </w:r>
      <w:proofErr w:type="spellStart"/>
      <w:r>
        <w:t>Guandú</w:t>
      </w:r>
      <w:proofErr w:type="spellEnd"/>
      <w:r>
        <w:t>, Rio Doce, Lagos e Lagoas).</w:t>
      </w:r>
      <w:bookmarkEnd w:id="55"/>
    </w:p>
    <w:p w14:paraId="275A8493" w14:textId="77777777" w:rsidR="00EC0C73" w:rsidRPr="004355E4" w:rsidRDefault="00EC0C73" w:rsidP="00EC0C73">
      <w:pPr>
        <w:jc w:val="center"/>
      </w:pPr>
      <w:r>
        <w:rPr>
          <w:noProof/>
          <w:lang w:eastAsia="pt-BR"/>
        </w:rPr>
        <w:drawing>
          <wp:inline distT="0" distB="0" distL="0" distR="0" wp14:anchorId="49748691" wp14:editId="4B59DA08">
            <wp:extent cx="4286250" cy="6839075"/>
            <wp:effectExtent l="0" t="0" r="0" b="0"/>
            <wp:docPr id="1" name="Imagem 1"/>
            <wp:cNvGraphicFramePr/>
            <a:graphic xmlns:a="http://schemas.openxmlformats.org/drawingml/2006/main">
              <a:graphicData uri="http://schemas.openxmlformats.org/drawingml/2006/picture">
                <pic:pic xmlns:pic="http://schemas.openxmlformats.org/drawingml/2006/picture">
                  <pic:nvPicPr>
                    <pic:cNvPr id="1" name="Imagem 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04744" cy="6868585"/>
                    </a:xfrm>
                    <a:prstGeom prst="rect">
                      <a:avLst/>
                    </a:prstGeom>
                    <a:noFill/>
                    <a:ln>
                      <a:noFill/>
                    </a:ln>
                  </pic:spPr>
                </pic:pic>
              </a:graphicData>
            </a:graphic>
          </wp:inline>
        </w:drawing>
      </w:r>
    </w:p>
    <w:p w14:paraId="569CD16B" w14:textId="40239096" w:rsidR="00EC0C73" w:rsidRPr="00371BB0" w:rsidRDefault="00EC0C73" w:rsidP="00EC0C73">
      <w:pPr>
        <w:ind w:firstLine="708"/>
        <w:rPr>
          <w:rFonts w:cs="Arial"/>
          <w:szCs w:val="20"/>
        </w:rPr>
      </w:pPr>
      <w:r w:rsidRPr="00371BB0">
        <w:rPr>
          <w:rFonts w:cs="Arial"/>
          <w:szCs w:val="20"/>
        </w:rPr>
        <w:t xml:space="preserve">Dados numéricos que apresentam os limites e os valores percentuais de não conformidades referentes aos </w:t>
      </w:r>
      <w:r>
        <w:rPr>
          <w:rFonts w:cs="Arial"/>
          <w:szCs w:val="20"/>
        </w:rPr>
        <w:t>PCBs</w:t>
      </w:r>
      <w:r w:rsidRPr="00371BB0">
        <w:rPr>
          <w:rFonts w:cs="Arial"/>
          <w:szCs w:val="20"/>
        </w:rPr>
        <w:t xml:space="preserve"> para os três períodos estão apresentados na</w:t>
      </w:r>
      <w:r w:rsidR="009E0FB4">
        <w:rPr>
          <w:rFonts w:cs="Arial"/>
          <w:szCs w:val="20"/>
        </w:rPr>
        <w:t xml:space="preserve"> </w:t>
      </w:r>
      <w:r w:rsidR="009E0FB4">
        <w:rPr>
          <w:rFonts w:cs="Arial"/>
          <w:szCs w:val="20"/>
        </w:rPr>
        <w:fldChar w:fldCharType="begin"/>
      </w:r>
      <w:r w:rsidR="009E0FB4">
        <w:rPr>
          <w:rFonts w:cs="Arial"/>
          <w:szCs w:val="20"/>
        </w:rPr>
        <w:instrText xml:space="preserve"> REF _Ref42074402 \h </w:instrText>
      </w:r>
      <w:r w:rsidR="009E0FB4">
        <w:rPr>
          <w:rFonts w:cs="Arial"/>
          <w:szCs w:val="20"/>
        </w:rPr>
      </w:r>
      <w:r w:rsidR="009E0FB4">
        <w:rPr>
          <w:rFonts w:cs="Arial"/>
          <w:szCs w:val="20"/>
        </w:rPr>
        <w:fldChar w:fldCharType="separate"/>
      </w:r>
      <w:r w:rsidR="002C014F">
        <w:t xml:space="preserve">Tabela </w:t>
      </w:r>
      <w:r w:rsidR="002C014F">
        <w:rPr>
          <w:noProof/>
        </w:rPr>
        <w:t>7</w:t>
      </w:r>
      <w:r w:rsidR="009E0FB4">
        <w:rPr>
          <w:rFonts w:cs="Arial"/>
          <w:szCs w:val="20"/>
        </w:rPr>
        <w:fldChar w:fldCharType="end"/>
      </w:r>
      <w:r w:rsidRPr="00371BB0">
        <w:rPr>
          <w:rFonts w:cs="Arial"/>
          <w:szCs w:val="20"/>
        </w:rPr>
        <w:t>.</w:t>
      </w:r>
    </w:p>
    <w:p w14:paraId="1348B523" w14:textId="0DE2791C" w:rsidR="008308DE" w:rsidRDefault="00EC0C73" w:rsidP="00CF3145">
      <w:pPr>
        <w:pStyle w:val="Legenda"/>
        <w:keepNext/>
      </w:pPr>
      <w:bookmarkStart w:id="56" w:name="_Ref42074402"/>
      <w:bookmarkStart w:id="57" w:name="_Toc46992182"/>
      <w:r>
        <w:lastRenderedPageBreak/>
        <w:t xml:space="preserve">Tabela </w:t>
      </w:r>
      <w:fldSimple w:instr=" SEQ Tabela \* ARABIC ">
        <w:r w:rsidR="002C014F">
          <w:rPr>
            <w:noProof/>
          </w:rPr>
          <w:t>7</w:t>
        </w:r>
      </w:fldSimple>
      <w:bookmarkEnd w:id="56"/>
      <w:r>
        <w:t xml:space="preserve"> - Limites CONAMA classe 2 e NOAA crônico, bem como índices de não conformidade para todas as amostras analisadas para os PCBs totais.</w:t>
      </w:r>
      <w:bookmarkEnd w:id="57"/>
    </w:p>
    <w:p w14:paraId="77A1A820" w14:textId="6759B92F" w:rsidR="00EC0C73" w:rsidRDefault="00EC0C73" w:rsidP="00CF3145">
      <w:pPr>
        <w:pStyle w:val="Legenda"/>
        <w:keepNext/>
        <w:rPr>
          <w:szCs w:val="20"/>
        </w:rPr>
      </w:pPr>
      <w:r w:rsidRPr="00CD3EB1">
        <w:rPr>
          <w:noProof/>
          <w:lang w:eastAsia="pt-BR"/>
        </w:rPr>
        <w:drawing>
          <wp:inline distT="0" distB="0" distL="0" distR="0" wp14:anchorId="478662F1" wp14:editId="098E966A">
            <wp:extent cx="5400040" cy="84010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0040" cy="840105"/>
                    </a:xfrm>
                    <a:prstGeom prst="rect">
                      <a:avLst/>
                    </a:prstGeom>
                    <a:noFill/>
                    <a:ln>
                      <a:noFill/>
                    </a:ln>
                  </pic:spPr>
                </pic:pic>
              </a:graphicData>
            </a:graphic>
          </wp:inline>
        </w:drawing>
      </w:r>
    </w:p>
    <w:p w14:paraId="34DF7092" w14:textId="41C0C8E2" w:rsidR="00EC0C73" w:rsidRPr="00371BB0" w:rsidRDefault="00EC0C73" w:rsidP="00EC0C73">
      <w:pPr>
        <w:ind w:firstLine="708"/>
        <w:rPr>
          <w:rFonts w:cs="Arial"/>
          <w:szCs w:val="20"/>
          <w:shd w:val="clear" w:color="auto" w:fill="FFFFFF"/>
        </w:rPr>
      </w:pPr>
      <w:r w:rsidRPr="00371BB0">
        <w:rPr>
          <w:rFonts w:cs="Arial"/>
          <w:szCs w:val="20"/>
        </w:rPr>
        <w:t xml:space="preserve">Segundo os limites estabelecidos na Resolução 357 do CONAMA, de 1 </w:t>
      </w:r>
      <w:proofErr w:type="spellStart"/>
      <w:r w:rsidRPr="00371BB0">
        <w:rPr>
          <w:rFonts w:cs="Arial"/>
          <w:szCs w:val="20"/>
        </w:rPr>
        <w:t>ng</w:t>
      </w:r>
      <w:proofErr w:type="spellEnd"/>
      <w:r w:rsidRPr="00371BB0">
        <w:rPr>
          <w:rFonts w:cs="Arial"/>
          <w:szCs w:val="20"/>
        </w:rPr>
        <w:t xml:space="preserve"> L</w:t>
      </w:r>
      <w:r w:rsidRPr="00371BB0">
        <w:rPr>
          <w:rFonts w:cs="Arial"/>
          <w:szCs w:val="20"/>
          <w:vertAlign w:val="superscript"/>
        </w:rPr>
        <w:t>-1</w:t>
      </w:r>
      <w:r w:rsidRPr="00371BB0">
        <w:rPr>
          <w:rFonts w:cs="Arial"/>
          <w:szCs w:val="20"/>
        </w:rPr>
        <w:t xml:space="preserve"> para as Classe 2, 32 amostras do período de transição apresentaram não conformidades, um total de 94,4 % das amostras, mostrado na</w:t>
      </w:r>
      <w:r w:rsidR="009E0FB4">
        <w:rPr>
          <w:rFonts w:cs="Arial"/>
          <w:szCs w:val="20"/>
        </w:rPr>
        <w:t xml:space="preserve"> </w:t>
      </w:r>
      <w:r w:rsidR="009E0FB4">
        <w:rPr>
          <w:rFonts w:cs="Arial"/>
          <w:szCs w:val="20"/>
        </w:rPr>
        <w:fldChar w:fldCharType="begin"/>
      </w:r>
      <w:r w:rsidR="009E0FB4">
        <w:rPr>
          <w:rFonts w:cs="Arial"/>
          <w:szCs w:val="20"/>
        </w:rPr>
        <w:instrText xml:space="preserve"> REF _Ref42074402 \h </w:instrText>
      </w:r>
      <w:r w:rsidR="009E0FB4">
        <w:rPr>
          <w:rFonts w:cs="Arial"/>
          <w:szCs w:val="20"/>
        </w:rPr>
      </w:r>
      <w:r w:rsidR="009E0FB4">
        <w:rPr>
          <w:rFonts w:cs="Arial"/>
          <w:szCs w:val="20"/>
        </w:rPr>
        <w:fldChar w:fldCharType="separate"/>
      </w:r>
      <w:r w:rsidR="002C014F">
        <w:t xml:space="preserve">Tabela </w:t>
      </w:r>
      <w:r w:rsidR="002C014F">
        <w:rPr>
          <w:noProof/>
        </w:rPr>
        <w:t>7</w:t>
      </w:r>
      <w:r w:rsidR="009E0FB4">
        <w:rPr>
          <w:rFonts w:cs="Arial"/>
          <w:szCs w:val="20"/>
        </w:rPr>
        <w:fldChar w:fldCharType="end"/>
      </w:r>
      <w:r>
        <w:rPr>
          <w:rFonts w:cs="Arial"/>
          <w:color w:val="FF0000"/>
          <w:szCs w:val="20"/>
        </w:rPr>
        <w:t xml:space="preserve">. </w:t>
      </w:r>
      <w:r w:rsidRPr="006264B8">
        <w:rPr>
          <w:rFonts w:cs="Arial"/>
          <w:szCs w:val="20"/>
        </w:rPr>
        <w:t xml:space="preserve">Este dado </w:t>
      </w:r>
      <w:r w:rsidRPr="00371BB0">
        <w:rPr>
          <w:rFonts w:cs="Arial"/>
          <w:szCs w:val="20"/>
        </w:rPr>
        <w:t>revela-se altamente preocupante, já que são compostos de grande toxicidade e impactante à saúde humana</w:t>
      </w:r>
      <w:r w:rsidR="00EA0A0C">
        <w:rPr>
          <w:rFonts w:cs="Arial"/>
          <w:szCs w:val="20"/>
        </w:rPr>
        <w:t>.</w:t>
      </w:r>
      <w:r w:rsidRPr="00371BB0">
        <w:rPr>
          <w:rFonts w:cs="Arial"/>
          <w:szCs w:val="20"/>
        </w:rPr>
        <w:t xml:space="preserve"> Os PCBs são usados em </w:t>
      </w:r>
      <w:r w:rsidRPr="00371BB0">
        <w:rPr>
          <w:rFonts w:cs="Arial"/>
          <w:szCs w:val="20"/>
          <w:shd w:val="clear" w:color="auto" w:fill="FFFFFF"/>
        </w:rPr>
        <w:t>fluidos dielétricos em transformadores e condensadores; em óleos de corte, lubrificantes hidráulicos; tintas; adesivos; entre outros, portanto têm origem em atividades industriais, não estando relacionadas diretamente com o r</w:t>
      </w:r>
      <w:r>
        <w:rPr>
          <w:rFonts w:cs="Arial"/>
          <w:szCs w:val="20"/>
          <w:shd w:val="clear" w:color="auto" w:fill="FFFFFF"/>
        </w:rPr>
        <w:t>ompimento da barragem de Fundão</w:t>
      </w:r>
      <w:r>
        <w:rPr>
          <w:rFonts w:cs="Arial"/>
          <w:szCs w:val="20"/>
        </w:rPr>
        <w:t xml:space="preserve">. </w:t>
      </w:r>
      <w:r w:rsidRPr="00371BB0">
        <w:rPr>
          <w:rFonts w:cs="Arial"/>
          <w:szCs w:val="20"/>
        </w:rPr>
        <w:t>Atuam negativamente</w:t>
      </w:r>
      <w:r>
        <w:rPr>
          <w:rFonts w:cs="Arial"/>
          <w:szCs w:val="20"/>
        </w:rPr>
        <w:t>,</w:t>
      </w:r>
      <w:r w:rsidRPr="00371BB0">
        <w:rPr>
          <w:rFonts w:cs="Arial"/>
          <w:szCs w:val="20"/>
        </w:rPr>
        <w:t xml:space="preserve"> sobretudo como interferentes dos sistemas endócrinos, sendo também apontados como</w:t>
      </w:r>
      <w:r>
        <w:rPr>
          <w:rFonts w:cs="Arial"/>
          <w:szCs w:val="20"/>
        </w:rPr>
        <w:t xml:space="preserve"> </w:t>
      </w:r>
      <w:r w:rsidRPr="00371BB0">
        <w:rPr>
          <w:rFonts w:cs="Arial"/>
          <w:szCs w:val="20"/>
        </w:rPr>
        <w:t>carcinogênicos</w:t>
      </w:r>
      <w:r>
        <w:rPr>
          <w:rFonts w:cs="Arial"/>
          <w:szCs w:val="20"/>
        </w:rPr>
        <w:t>. F</w:t>
      </w:r>
      <w:r w:rsidRPr="00371BB0">
        <w:rPr>
          <w:rFonts w:cs="Arial"/>
          <w:szCs w:val="20"/>
        </w:rPr>
        <w:t>oram listados pelo Programa Ambiental das Nações Unidas (UNEP) como poluentes orgânicos persistentes (</w:t>
      </w:r>
      <w:proofErr w:type="spellStart"/>
      <w:r w:rsidRPr="00371BB0">
        <w:rPr>
          <w:rFonts w:cs="Arial"/>
          <w:szCs w:val="20"/>
        </w:rPr>
        <w:t>POPs</w:t>
      </w:r>
      <w:proofErr w:type="spellEnd"/>
      <w:r w:rsidRPr="00371BB0">
        <w:rPr>
          <w:rFonts w:cs="Arial"/>
          <w:szCs w:val="20"/>
        </w:rPr>
        <w:t>) sob a Convenção de Estocolmo em 2001</w:t>
      </w:r>
      <w:r>
        <w:rPr>
          <w:rFonts w:cs="Arial"/>
          <w:szCs w:val="20"/>
        </w:rPr>
        <w:t>. Dessa forma, é</w:t>
      </w:r>
      <w:r w:rsidRPr="00371BB0">
        <w:rPr>
          <w:rFonts w:cs="Arial"/>
          <w:szCs w:val="20"/>
          <w:shd w:val="clear" w:color="auto" w:fill="FFFFFF"/>
        </w:rPr>
        <w:t xml:space="preserve"> de fundamental importância que se investigue com mais profundidade estes resultados, uma vez que são relevantes para a população</w:t>
      </w:r>
      <w:r>
        <w:rPr>
          <w:rFonts w:cs="Arial"/>
          <w:szCs w:val="20"/>
          <w:shd w:val="clear" w:color="auto" w:fill="FFFFFF"/>
        </w:rPr>
        <w:t xml:space="preserve"> e se busque uma forma de mitigação e controle destes poluentes</w:t>
      </w:r>
      <w:r w:rsidRPr="00371BB0">
        <w:rPr>
          <w:rFonts w:cs="Arial"/>
          <w:szCs w:val="20"/>
          <w:shd w:val="clear" w:color="auto" w:fill="FFFFFF"/>
        </w:rPr>
        <w:t>.</w:t>
      </w:r>
    </w:p>
    <w:p w14:paraId="7AEE730B" w14:textId="22B77C01" w:rsidR="00EC0C73" w:rsidRPr="00EC0C73" w:rsidRDefault="00EC0C73" w:rsidP="00EC0C73">
      <w:pPr>
        <w:pStyle w:val="Ttulo3"/>
      </w:pPr>
      <w:bookmarkStart w:id="58" w:name="_Toc46992120"/>
      <w:r w:rsidRPr="00EC0C73">
        <w:t>Pesticidas</w:t>
      </w:r>
      <w:bookmarkEnd w:id="58"/>
    </w:p>
    <w:p w14:paraId="28C05D51" w14:textId="77777777" w:rsidR="00EC0C73" w:rsidRPr="00931A07" w:rsidRDefault="00EC0C73" w:rsidP="00EC0C73">
      <w:pPr>
        <w:ind w:firstLine="708"/>
        <w:rPr>
          <w:rFonts w:cs="Arial"/>
          <w:szCs w:val="20"/>
        </w:rPr>
      </w:pPr>
      <w:r w:rsidRPr="00931A07">
        <w:rPr>
          <w:rFonts w:cs="Arial"/>
          <w:szCs w:val="20"/>
        </w:rPr>
        <w:t>Analis</w:t>
      </w:r>
      <w:r>
        <w:rPr>
          <w:rFonts w:cs="Arial"/>
          <w:szCs w:val="20"/>
        </w:rPr>
        <w:t>aram</w:t>
      </w:r>
      <w:r w:rsidRPr="00931A07">
        <w:rPr>
          <w:rFonts w:cs="Arial"/>
          <w:szCs w:val="20"/>
        </w:rPr>
        <w:t xml:space="preserve">-se as amostras de água até a 14 campanha, totalizando 235 amostras, das quais 34 são do ano de transição, conforme a metodologia de determinação de Pesticidas proposta no Ano 1. Os 11 </w:t>
      </w:r>
      <w:r>
        <w:rPr>
          <w:rFonts w:cs="Arial"/>
          <w:szCs w:val="20"/>
        </w:rPr>
        <w:t>p</w:t>
      </w:r>
      <w:r w:rsidRPr="00931A07">
        <w:rPr>
          <w:rFonts w:cs="Arial"/>
          <w:szCs w:val="20"/>
        </w:rPr>
        <w:t xml:space="preserve">esticidas avaliados no período de transição </w:t>
      </w:r>
      <w:r>
        <w:rPr>
          <w:rFonts w:cs="Arial"/>
          <w:szCs w:val="20"/>
        </w:rPr>
        <w:t xml:space="preserve">são os mesmos do primeiro ano, ou seja: </w:t>
      </w:r>
      <w:r w:rsidRPr="00931A07">
        <w:rPr>
          <w:rFonts w:cs="Arial"/>
          <w:szCs w:val="20"/>
        </w:rPr>
        <w:t>a-BHC, b-BHC, g-BHC, d-BHC, g-</w:t>
      </w:r>
      <w:proofErr w:type="spellStart"/>
      <w:r w:rsidRPr="00931A07">
        <w:rPr>
          <w:rFonts w:cs="Arial"/>
          <w:szCs w:val="20"/>
        </w:rPr>
        <w:t>clordano</w:t>
      </w:r>
      <w:proofErr w:type="spellEnd"/>
      <w:r w:rsidRPr="00931A07">
        <w:rPr>
          <w:rFonts w:cs="Arial"/>
          <w:szCs w:val="20"/>
        </w:rPr>
        <w:t>, a-</w:t>
      </w:r>
      <w:proofErr w:type="spellStart"/>
      <w:r w:rsidRPr="00931A07">
        <w:rPr>
          <w:rFonts w:cs="Arial"/>
          <w:szCs w:val="20"/>
        </w:rPr>
        <w:t>clordane</w:t>
      </w:r>
      <w:proofErr w:type="spellEnd"/>
      <w:r w:rsidRPr="00931A07">
        <w:rPr>
          <w:rFonts w:cs="Arial"/>
          <w:szCs w:val="20"/>
        </w:rPr>
        <w:t xml:space="preserve">, </w:t>
      </w:r>
      <w:proofErr w:type="spellStart"/>
      <w:r w:rsidRPr="00931A07">
        <w:rPr>
          <w:rFonts w:cs="Arial"/>
          <w:szCs w:val="20"/>
        </w:rPr>
        <w:t>Dieldrin</w:t>
      </w:r>
      <w:proofErr w:type="spellEnd"/>
      <w:r w:rsidRPr="00931A07">
        <w:rPr>
          <w:rFonts w:cs="Arial"/>
          <w:szCs w:val="20"/>
        </w:rPr>
        <w:t xml:space="preserve">, DDE, </w:t>
      </w:r>
      <w:proofErr w:type="spellStart"/>
      <w:r w:rsidRPr="00931A07">
        <w:rPr>
          <w:rFonts w:cs="Arial"/>
          <w:szCs w:val="20"/>
        </w:rPr>
        <w:t>Endrin</w:t>
      </w:r>
      <w:proofErr w:type="spellEnd"/>
      <w:r w:rsidRPr="00931A07">
        <w:rPr>
          <w:rFonts w:cs="Arial"/>
          <w:szCs w:val="20"/>
        </w:rPr>
        <w:t>, DDD, DDT.</w:t>
      </w:r>
    </w:p>
    <w:p w14:paraId="76C8AAB0" w14:textId="461ADF84" w:rsidR="005C2856" w:rsidRDefault="00EC0C73" w:rsidP="005C2856">
      <w:pPr>
        <w:ind w:firstLine="708"/>
        <w:rPr>
          <w:rFonts w:cs="Arial"/>
          <w:szCs w:val="20"/>
        </w:rPr>
      </w:pPr>
      <w:r w:rsidRPr="00931A07">
        <w:rPr>
          <w:rFonts w:cs="Arial"/>
          <w:szCs w:val="20"/>
        </w:rPr>
        <w:t xml:space="preserve">A </w:t>
      </w:r>
      <w:r w:rsidR="0000044B" w:rsidRPr="005C2856">
        <w:rPr>
          <w:rFonts w:cs="Arial"/>
          <w:szCs w:val="20"/>
        </w:rPr>
        <w:fldChar w:fldCharType="begin"/>
      </w:r>
      <w:r w:rsidR="0000044B" w:rsidRPr="005C2856">
        <w:rPr>
          <w:rFonts w:cs="Arial"/>
          <w:szCs w:val="20"/>
        </w:rPr>
        <w:instrText xml:space="preserve"> REF _Ref42074691 \h </w:instrText>
      </w:r>
      <w:r w:rsidR="005C2856">
        <w:rPr>
          <w:rFonts w:cs="Arial"/>
          <w:szCs w:val="20"/>
        </w:rPr>
        <w:instrText xml:space="preserve"> \* MERGEFORMAT </w:instrText>
      </w:r>
      <w:r w:rsidR="0000044B" w:rsidRPr="005C2856">
        <w:rPr>
          <w:rFonts w:cs="Arial"/>
          <w:szCs w:val="20"/>
        </w:rPr>
      </w:r>
      <w:r w:rsidR="0000044B" w:rsidRPr="005C2856">
        <w:rPr>
          <w:rFonts w:cs="Arial"/>
          <w:szCs w:val="20"/>
        </w:rPr>
        <w:fldChar w:fldCharType="separate"/>
      </w:r>
      <w:r w:rsidR="002C014F" w:rsidRPr="002C014F">
        <w:rPr>
          <w:rFonts w:cs="Arial"/>
          <w:szCs w:val="20"/>
        </w:rPr>
        <w:t>Figura 12</w:t>
      </w:r>
      <w:r w:rsidR="0000044B" w:rsidRPr="005C2856">
        <w:rPr>
          <w:rFonts w:cs="Arial"/>
          <w:szCs w:val="20"/>
        </w:rPr>
        <w:fldChar w:fldCharType="end"/>
      </w:r>
      <w:r w:rsidR="0000044B" w:rsidRPr="005C2856">
        <w:rPr>
          <w:rFonts w:cs="Arial"/>
          <w:szCs w:val="20"/>
        </w:rPr>
        <w:t xml:space="preserve"> </w:t>
      </w:r>
      <w:r w:rsidRPr="00931A07">
        <w:rPr>
          <w:rFonts w:cs="Arial"/>
          <w:szCs w:val="20"/>
        </w:rPr>
        <w:t>apresenta o gráfico de box-</w:t>
      </w:r>
      <w:proofErr w:type="spellStart"/>
      <w:r w:rsidRPr="00931A07">
        <w:rPr>
          <w:rFonts w:cs="Arial"/>
          <w:szCs w:val="20"/>
        </w:rPr>
        <w:t>plot</w:t>
      </w:r>
      <w:proofErr w:type="spellEnd"/>
      <w:r w:rsidRPr="00931A07">
        <w:rPr>
          <w:rFonts w:cs="Arial"/>
          <w:szCs w:val="20"/>
        </w:rPr>
        <w:t xml:space="preserve"> para os Pesticidas totais (somatória dos 11 Pesticidas analisados) em água nos diferentes ambientes ao longo dos três períodos</w:t>
      </w:r>
      <w:r>
        <w:rPr>
          <w:rFonts w:cs="Arial"/>
          <w:szCs w:val="20"/>
        </w:rPr>
        <w:t xml:space="preserve"> (seca e chuvoso do ano 1 e chuvoso da transição)</w:t>
      </w:r>
      <w:r w:rsidRPr="00371BB0">
        <w:rPr>
          <w:rFonts w:cs="Arial"/>
          <w:szCs w:val="20"/>
        </w:rPr>
        <w:t>.</w:t>
      </w:r>
      <w:r w:rsidRPr="00931A07">
        <w:rPr>
          <w:rFonts w:cs="Arial"/>
          <w:szCs w:val="20"/>
        </w:rPr>
        <w:t xml:space="preserve"> Percebe-se que houve uma drástica diminuição nas concentrações de Pesticidas totais no período de Transição quando comparado ao Ano 1 em todos os ambientes. Uma hipótese para esse comportamento são as intensas chuvas ocorridas no período chuvoso do </w:t>
      </w:r>
      <w:r>
        <w:rPr>
          <w:rFonts w:cs="Arial"/>
          <w:szCs w:val="20"/>
        </w:rPr>
        <w:t>ano de transição, com diluição dos contaminantes.</w:t>
      </w:r>
    </w:p>
    <w:p w14:paraId="4ADC55C8" w14:textId="77777777" w:rsidR="005C2856" w:rsidRDefault="005C2856">
      <w:pPr>
        <w:spacing w:before="0" w:line="259" w:lineRule="auto"/>
        <w:jc w:val="left"/>
        <w:rPr>
          <w:rFonts w:cs="Arial"/>
          <w:szCs w:val="20"/>
        </w:rPr>
      </w:pPr>
      <w:r>
        <w:rPr>
          <w:rFonts w:cs="Arial"/>
          <w:szCs w:val="20"/>
        </w:rPr>
        <w:br w:type="page"/>
      </w:r>
    </w:p>
    <w:p w14:paraId="5F5CB00D" w14:textId="06CA42F1" w:rsidR="00EC0C73" w:rsidRDefault="00EC0C73" w:rsidP="00CF3145">
      <w:pPr>
        <w:ind w:firstLine="708"/>
        <w:jc w:val="center"/>
        <w:rPr>
          <w:sz w:val="16"/>
          <w:szCs w:val="16"/>
        </w:rPr>
      </w:pPr>
      <w:bookmarkStart w:id="59" w:name="_Ref42074691"/>
      <w:bookmarkStart w:id="60" w:name="_Toc46992146"/>
      <w:r w:rsidRPr="00CF3145">
        <w:rPr>
          <w:sz w:val="16"/>
          <w:szCs w:val="16"/>
        </w:rPr>
        <w:lastRenderedPageBreak/>
        <w:t xml:space="preserve">Figura </w:t>
      </w:r>
      <w:r w:rsidRPr="00CF3145">
        <w:rPr>
          <w:sz w:val="16"/>
          <w:szCs w:val="16"/>
        </w:rPr>
        <w:fldChar w:fldCharType="begin"/>
      </w:r>
      <w:r w:rsidRPr="00CF3145">
        <w:rPr>
          <w:sz w:val="16"/>
          <w:szCs w:val="16"/>
        </w:rPr>
        <w:instrText xml:space="preserve"> SEQ Figura \* ARABIC </w:instrText>
      </w:r>
      <w:r w:rsidRPr="00CF3145">
        <w:rPr>
          <w:sz w:val="16"/>
          <w:szCs w:val="16"/>
        </w:rPr>
        <w:fldChar w:fldCharType="separate"/>
      </w:r>
      <w:r w:rsidR="002C014F">
        <w:rPr>
          <w:noProof/>
          <w:sz w:val="16"/>
          <w:szCs w:val="16"/>
        </w:rPr>
        <w:t>12</w:t>
      </w:r>
      <w:r w:rsidRPr="00CF3145">
        <w:rPr>
          <w:noProof/>
          <w:sz w:val="16"/>
          <w:szCs w:val="16"/>
        </w:rPr>
        <w:fldChar w:fldCharType="end"/>
      </w:r>
      <w:bookmarkEnd w:id="59"/>
      <w:r w:rsidRPr="00CF3145">
        <w:rPr>
          <w:sz w:val="16"/>
          <w:szCs w:val="16"/>
        </w:rPr>
        <w:t xml:space="preserve"> - Variabilidade das concentrações de diferentes pesticidas nas 235 amostras de água analisadas das 12 estações de coleta, agrupadas por nos ambientes Rio Guandu, Rio Doce, Lagos e Lagoas ao longo dos períodos out/18 a mar/2019 (período chuvoso- ANO 1), </w:t>
      </w:r>
      <w:proofErr w:type="spellStart"/>
      <w:r w:rsidRPr="00CF3145">
        <w:rPr>
          <w:sz w:val="16"/>
          <w:szCs w:val="16"/>
        </w:rPr>
        <w:t>abr</w:t>
      </w:r>
      <w:proofErr w:type="spellEnd"/>
      <w:r w:rsidRPr="00CF3145">
        <w:rPr>
          <w:sz w:val="16"/>
          <w:szCs w:val="16"/>
        </w:rPr>
        <w:t xml:space="preserve">/19 a set/2019 (período de estiagem- ANO 1) e </w:t>
      </w:r>
      <w:proofErr w:type="spellStart"/>
      <w:r w:rsidRPr="00CF3145">
        <w:rPr>
          <w:sz w:val="16"/>
          <w:szCs w:val="16"/>
        </w:rPr>
        <w:t>nov</w:t>
      </w:r>
      <w:proofErr w:type="spellEnd"/>
      <w:r w:rsidRPr="00CF3145">
        <w:rPr>
          <w:sz w:val="16"/>
          <w:szCs w:val="16"/>
        </w:rPr>
        <w:t xml:space="preserve">/19 a </w:t>
      </w:r>
      <w:proofErr w:type="spellStart"/>
      <w:r w:rsidRPr="00CF3145">
        <w:rPr>
          <w:sz w:val="16"/>
          <w:szCs w:val="16"/>
        </w:rPr>
        <w:t>fev</w:t>
      </w:r>
      <w:proofErr w:type="spellEnd"/>
      <w:r w:rsidRPr="00CF3145">
        <w:rPr>
          <w:sz w:val="16"/>
          <w:szCs w:val="16"/>
        </w:rPr>
        <w:t>/2020 (período chuvoso- ANO de transição).</w:t>
      </w:r>
      <w:bookmarkEnd w:id="60"/>
    </w:p>
    <w:p w14:paraId="01DAC435" w14:textId="77777777" w:rsidR="00EC0C73" w:rsidRPr="00975AA6" w:rsidRDefault="00EC0C73" w:rsidP="00EC0C73">
      <w:pPr>
        <w:jc w:val="center"/>
        <w:rPr>
          <w:lang w:eastAsia="pt-BR"/>
        </w:rPr>
      </w:pPr>
      <w:r>
        <w:rPr>
          <w:noProof/>
          <w:lang w:eastAsia="pt-BR"/>
        </w:rPr>
        <w:drawing>
          <wp:inline distT="0" distB="0" distL="0" distR="0" wp14:anchorId="3E2D1256" wp14:editId="030B123E">
            <wp:extent cx="3823208" cy="6840000"/>
            <wp:effectExtent l="0" t="0" r="6350" b="0"/>
            <wp:docPr id="109" name="Imagem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823208" cy="6840000"/>
                    </a:xfrm>
                    <a:prstGeom prst="rect">
                      <a:avLst/>
                    </a:prstGeom>
                    <a:noFill/>
                    <a:ln>
                      <a:noFill/>
                    </a:ln>
                  </pic:spPr>
                </pic:pic>
              </a:graphicData>
            </a:graphic>
          </wp:inline>
        </w:drawing>
      </w:r>
    </w:p>
    <w:p w14:paraId="40A5E4CB" w14:textId="1D5824BD" w:rsidR="00EC0C73" w:rsidRPr="0052358C" w:rsidRDefault="00EC0C73" w:rsidP="00EC0C73">
      <w:pPr>
        <w:ind w:firstLine="708"/>
        <w:rPr>
          <w:rFonts w:cs="Arial"/>
          <w:szCs w:val="20"/>
        </w:rPr>
      </w:pPr>
      <w:r w:rsidRPr="0052358C">
        <w:rPr>
          <w:rFonts w:cs="Arial"/>
          <w:szCs w:val="20"/>
        </w:rPr>
        <w:t xml:space="preserve">Todos os pesticidas apresentaram baixa variabilidade de concentrações em todos os ambientes analisados como mostra </w:t>
      </w:r>
      <w:r w:rsidR="0000044B">
        <w:rPr>
          <w:rFonts w:cs="Arial"/>
          <w:szCs w:val="20"/>
        </w:rPr>
        <w:t xml:space="preserve">a </w:t>
      </w:r>
      <w:r w:rsidR="0000044B">
        <w:rPr>
          <w:rFonts w:cs="Arial"/>
          <w:szCs w:val="20"/>
        </w:rPr>
        <w:fldChar w:fldCharType="begin"/>
      </w:r>
      <w:r w:rsidR="0000044B">
        <w:rPr>
          <w:rFonts w:cs="Arial"/>
          <w:szCs w:val="20"/>
        </w:rPr>
        <w:instrText xml:space="preserve"> REF _Ref42074729 \h </w:instrText>
      </w:r>
      <w:r w:rsidR="0000044B">
        <w:rPr>
          <w:rFonts w:cs="Arial"/>
          <w:szCs w:val="20"/>
        </w:rPr>
      </w:r>
      <w:r w:rsidR="0000044B">
        <w:rPr>
          <w:rFonts w:cs="Arial"/>
          <w:szCs w:val="20"/>
        </w:rPr>
        <w:fldChar w:fldCharType="separate"/>
      </w:r>
      <w:r w:rsidR="002C014F">
        <w:t xml:space="preserve">Figura </w:t>
      </w:r>
      <w:r w:rsidR="002C014F">
        <w:rPr>
          <w:noProof/>
        </w:rPr>
        <w:t>13</w:t>
      </w:r>
      <w:r w:rsidR="0000044B">
        <w:rPr>
          <w:rFonts w:cs="Arial"/>
          <w:szCs w:val="20"/>
        </w:rPr>
        <w:fldChar w:fldCharType="end"/>
      </w:r>
      <w:r w:rsidR="0000044B">
        <w:rPr>
          <w:rFonts w:cs="Arial"/>
          <w:szCs w:val="20"/>
        </w:rPr>
        <w:t>.</w:t>
      </w:r>
      <w:r w:rsidRPr="0052358C">
        <w:rPr>
          <w:rFonts w:cs="Arial"/>
          <w:color w:val="FF0000"/>
          <w:szCs w:val="20"/>
        </w:rPr>
        <w:t xml:space="preserve"> </w:t>
      </w:r>
      <w:r w:rsidRPr="0052358C">
        <w:rPr>
          <w:rFonts w:cs="Arial"/>
          <w:szCs w:val="20"/>
        </w:rPr>
        <w:t>Contudo, o g-BHC apresentou uma grande variabilidade de concentrações no ambiente Rio Doce, embora tenha apresentado um valor mediano semelhante aos demais.</w:t>
      </w:r>
    </w:p>
    <w:p w14:paraId="37471ACA" w14:textId="1F986B29" w:rsidR="00EC0C73" w:rsidRDefault="00EC0C73" w:rsidP="00CF3145">
      <w:pPr>
        <w:pStyle w:val="Legenda"/>
        <w:keepNext/>
      </w:pPr>
      <w:bookmarkStart w:id="61" w:name="_Ref42074729"/>
      <w:bookmarkStart w:id="62" w:name="_Toc46992147"/>
      <w:r>
        <w:lastRenderedPageBreak/>
        <w:t xml:space="preserve">Figura </w:t>
      </w:r>
      <w:fldSimple w:instr=" SEQ Figura \* ARABIC ">
        <w:r w:rsidR="002C014F">
          <w:rPr>
            <w:noProof/>
          </w:rPr>
          <w:t>13</w:t>
        </w:r>
      </w:fldSimple>
      <w:bookmarkEnd w:id="61"/>
      <w:r>
        <w:t xml:space="preserve"> - Variabilidade das concentrações de diferentes Pesticidas nas 34 amostras de água analisadas no período de transição (</w:t>
      </w:r>
      <w:proofErr w:type="spellStart"/>
      <w:r>
        <w:t>nov</w:t>
      </w:r>
      <w:proofErr w:type="spellEnd"/>
      <w:r>
        <w:t xml:space="preserve">/2019 dez/2019) em diferentes ambientes (Rio </w:t>
      </w:r>
      <w:proofErr w:type="spellStart"/>
      <w:r>
        <w:t>Guandú</w:t>
      </w:r>
      <w:proofErr w:type="spellEnd"/>
      <w:r>
        <w:t>, Rio Doce, Lagos e Lagoas).</w:t>
      </w:r>
      <w:bookmarkEnd w:id="62"/>
    </w:p>
    <w:p w14:paraId="3DDB7619" w14:textId="77777777" w:rsidR="00EC0C73" w:rsidRDefault="00EC0C73" w:rsidP="00EC0C73">
      <w:pPr>
        <w:jc w:val="center"/>
      </w:pPr>
      <w:r w:rsidRPr="00673F7D">
        <w:rPr>
          <w:noProof/>
          <w:lang w:eastAsia="pt-BR"/>
        </w:rPr>
        <w:drawing>
          <wp:inline distT="0" distB="0" distL="0" distR="0" wp14:anchorId="49F13023" wp14:editId="392CF6C0">
            <wp:extent cx="3584859" cy="6840000"/>
            <wp:effectExtent l="0" t="0" r="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84859" cy="6840000"/>
                    </a:xfrm>
                    <a:prstGeom prst="rect">
                      <a:avLst/>
                    </a:prstGeom>
                    <a:noFill/>
                    <a:ln>
                      <a:noFill/>
                    </a:ln>
                  </pic:spPr>
                </pic:pic>
              </a:graphicData>
            </a:graphic>
          </wp:inline>
        </w:drawing>
      </w:r>
    </w:p>
    <w:p w14:paraId="274E7832" w14:textId="1992F194" w:rsidR="00EC0C73" w:rsidRDefault="00EC0C73" w:rsidP="00EC0C73">
      <w:pPr>
        <w:ind w:firstLine="708"/>
        <w:rPr>
          <w:rFonts w:cs="Arial"/>
          <w:szCs w:val="20"/>
        </w:rPr>
      </w:pPr>
      <w:r w:rsidRPr="004C7E40">
        <w:rPr>
          <w:rFonts w:cs="Arial"/>
          <w:szCs w:val="20"/>
        </w:rPr>
        <w:t>Dados numéricos que apresentam os limites e os valores percentuais de não conformidades referentes aos pesticidas para os três períodos estão apresentados na</w:t>
      </w:r>
      <w:r w:rsidR="0000044B">
        <w:rPr>
          <w:rFonts w:cs="Arial"/>
          <w:szCs w:val="20"/>
        </w:rPr>
        <w:t xml:space="preserve"> </w:t>
      </w:r>
      <w:r w:rsidR="0000044B">
        <w:rPr>
          <w:rFonts w:cs="Arial"/>
          <w:szCs w:val="20"/>
        </w:rPr>
        <w:fldChar w:fldCharType="begin"/>
      </w:r>
      <w:r w:rsidR="0000044B">
        <w:rPr>
          <w:rFonts w:cs="Arial"/>
          <w:szCs w:val="20"/>
        </w:rPr>
        <w:instrText xml:space="preserve"> REF _Ref23426598 \h </w:instrText>
      </w:r>
      <w:r w:rsidR="0000044B">
        <w:rPr>
          <w:rFonts w:cs="Arial"/>
          <w:szCs w:val="20"/>
        </w:rPr>
      </w:r>
      <w:r w:rsidR="0000044B">
        <w:rPr>
          <w:rFonts w:cs="Arial"/>
          <w:szCs w:val="20"/>
        </w:rPr>
        <w:fldChar w:fldCharType="separate"/>
      </w:r>
      <w:r w:rsidR="002C014F">
        <w:t xml:space="preserve">Tabela </w:t>
      </w:r>
      <w:r w:rsidR="002C014F">
        <w:rPr>
          <w:noProof/>
        </w:rPr>
        <w:t>8</w:t>
      </w:r>
      <w:r w:rsidR="0000044B">
        <w:rPr>
          <w:rFonts w:cs="Arial"/>
          <w:szCs w:val="20"/>
        </w:rPr>
        <w:fldChar w:fldCharType="end"/>
      </w:r>
      <w:r w:rsidR="0000044B">
        <w:rPr>
          <w:rFonts w:cs="Arial"/>
          <w:szCs w:val="20"/>
        </w:rPr>
        <w:t>.</w:t>
      </w:r>
    </w:p>
    <w:p w14:paraId="408E7E18" w14:textId="042CE4F1" w:rsidR="008308DE" w:rsidRDefault="00EC0C73" w:rsidP="00CF3145">
      <w:pPr>
        <w:pStyle w:val="Legenda"/>
        <w:keepNext/>
      </w:pPr>
      <w:bookmarkStart w:id="63" w:name="_Ref23426598"/>
      <w:bookmarkStart w:id="64" w:name="_Toc23430151"/>
      <w:bookmarkStart w:id="65" w:name="_Toc46992183"/>
      <w:r>
        <w:lastRenderedPageBreak/>
        <w:t xml:space="preserve">Tabela </w:t>
      </w:r>
      <w:fldSimple w:instr=" SEQ Tabela \* ARABIC ">
        <w:r w:rsidR="002C014F">
          <w:rPr>
            <w:noProof/>
          </w:rPr>
          <w:t>8</w:t>
        </w:r>
      </w:fldSimple>
      <w:bookmarkEnd w:id="63"/>
      <w:r>
        <w:t xml:space="preserve"> - Limites do CONAMA Classe 3 e NOAA crônico, bem como os índices de não conformidade em todas as amostras de água analisadas para o parâmetro pesticida</w:t>
      </w:r>
      <w:bookmarkEnd w:id="64"/>
      <w:r>
        <w:t>.</w:t>
      </w:r>
      <w:bookmarkEnd w:id="65"/>
    </w:p>
    <w:p w14:paraId="215A6062" w14:textId="74EFF68F" w:rsidR="00D40C3A" w:rsidRDefault="00EC0C73" w:rsidP="00D40C3A">
      <w:pPr>
        <w:pStyle w:val="Legenda"/>
        <w:keepNext/>
        <w:rPr>
          <w:iCs w:val="0"/>
        </w:rPr>
      </w:pPr>
      <w:r w:rsidRPr="00DC26A8">
        <w:rPr>
          <w:noProof/>
          <w:lang w:eastAsia="pt-BR"/>
        </w:rPr>
        <w:drawing>
          <wp:inline distT="0" distB="0" distL="0" distR="0" wp14:anchorId="11D98151" wp14:editId="6042C55C">
            <wp:extent cx="5400040" cy="6174105"/>
            <wp:effectExtent l="0" t="0" r="0" b="0"/>
            <wp:docPr id="91" name="Imagem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0040" cy="6174105"/>
                    </a:xfrm>
                    <a:prstGeom prst="rect">
                      <a:avLst/>
                    </a:prstGeom>
                    <a:noFill/>
                    <a:ln>
                      <a:noFill/>
                    </a:ln>
                  </pic:spPr>
                </pic:pic>
              </a:graphicData>
            </a:graphic>
          </wp:inline>
        </w:drawing>
      </w:r>
      <w:r w:rsidR="00D40C3A">
        <w:br w:type="page"/>
      </w:r>
    </w:p>
    <w:p w14:paraId="343341A8" w14:textId="3BD59071" w:rsidR="00EC0C73" w:rsidRPr="004C7E40" w:rsidRDefault="00EC0C73" w:rsidP="00EC0C73">
      <w:pPr>
        <w:ind w:firstLine="708"/>
        <w:rPr>
          <w:rFonts w:cs="Arial"/>
          <w:szCs w:val="20"/>
        </w:rPr>
      </w:pPr>
      <w:r w:rsidRPr="004C7E40">
        <w:rPr>
          <w:rFonts w:cs="Arial"/>
          <w:szCs w:val="20"/>
        </w:rPr>
        <w:lastRenderedPageBreak/>
        <w:t>Observou-se, por meio da</w:t>
      </w:r>
      <w:r w:rsidR="009C077D">
        <w:rPr>
          <w:rFonts w:cs="Arial"/>
          <w:szCs w:val="20"/>
        </w:rPr>
        <w:t xml:space="preserve"> </w:t>
      </w:r>
      <w:r w:rsidR="009C077D">
        <w:rPr>
          <w:rFonts w:cs="Arial"/>
          <w:szCs w:val="20"/>
        </w:rPr>
        <w:fldChar w:fldCharType="begin"/>
      </w:r>
      <w:r w:rsidR="009C077D">
        <w:rPr>
          <w:rFonts w:cs="Arial"/>
          <w:szCs w:val="20"/>
        </w:rPr>
        <w:instrText xml:space="preserve"> REF _Ref23426598 \h </w:instrText>
      </w:r>
      <w:r w:rsidR="009C077D">
        <w:rPr>
          <w:rFonts w:cs="Arial"/>
          <w:szCs w:val="20"/>
        </w:rPr>
      </w:r>
      <w:r w:rsidR="009C077D">
        <w:rPr>
          <w:rFonts w:cs="Arial"/>
          <w:szCs w:val="20"/>
        </w:rPr>
        <w:fldChar w:fldCharType="separate"/>
      </w:r>
      <w:r w:rsidR="002C014F">
        <w:t xml:space="preserve">Tabela </w:t>
      </w:r>
      <w:r w:rsidR="002C014F">
        <w:rPr>
          <w:noProof/>
        </w:rPr>
        <w:t>8</w:t>
      </w:r>
      <w:r w:rsidR="009C077D">
        <w:rPr>
          <w:rFonts w:cs="Arial"/>
          <w:szCs w:val="20"/>
        </w:rPr>
        <w:fldChar w:fldCharType="end"/>
      </w:r>
      <w:r w:rsidRPr="004C7E40">
        <w:rPr>
          <w:rFonts w:cs="Arial"/>
          <w:szCs w:val="20"/>
        </w:rPr>
        <w:t xml:space="preserve">, que o período de transição </w:t>
      </w:r>
      <w:r>
        <w:rPr>
          <w:rFonts w:cs="Arial"/>
          <w:szCs w:val="20"/>
        </w:rPr>
        <w:t>ocorreu</w:t>
      </w:r>
      <w:r w:rsidRPr="004C7E40">
        <w:rPr>
          <w:rFonts w:cs="Arial"/>
          <w:szCs w:val="20"/>
        </w:rPr>
        <w:t xml:space="preserve"> uma diminuição d</w:t>
      </w:r>
      <w:r>
        <w:rPr>
          <w:rFonts w:cs="Arial"/>
          <w:szCs w:val="20"/>
        </w:rPr>
        <w:t>o</w:t>
      </w:r>
      <w:r w:rsidRPr="004C7E40">
        <w:rPr>
          <w:rFonts w:cs="Arial"/>
          <w:szCs w:val="20"/>
        </w:rPr>
        <w:t xml:space="preserve">s </w:t>
      </w:r>
      <w:r>
        <w:rPr>
          <w:rFonts w:cs="Arial"/>
          <w:szCs w:val="20"/>
        </w:rPr>
        <w:t>p</w:t>
      </w:r>
      <w:r w:rsidRPr="004C7E40">
        <w:rPr>
          <w:rFonts w:cs="Arial"/>
          <w:szCs w:val="20"/>
        </w:rPr>
        <w:t>esticidas não conformes</w:t>
      </w:r>
      <w:r>
        <w:rPr>
          <w:rFonts w:cs="Arial"/>
          <w:szCs w:val="20"/>
        </w:rPr>
        <w:t xml:space="preserve">, considerando-se </w:t>
      </w:r>
      <w:r w:rsidRPr="004C7E40">
        <w:rPr>
          <w:rFonts w:cs="Arial"/>
          <w:szCs w:val="20"/>
        </w:rPr>
        <w:t xml:space="preserve">a resolução CONAMA 357/2005 classe 2. Nesse período, apenas </w:t>
      </w:r>
      <w:r>
        <w:rPr>
          <w:rFonts w:cs="Arial"/>
          <w:szCs w:val="20"/>
        </w:rPr>
        <w:t>duas</w:t>
      </w:r>
      <w:r w:rsidRPr="004C7E40">
        <w:rPr>
          <w:rFonts w:cs="Arial"/>
          <w:szCs w:val="20"/>
        </w:rPr>
        <w:t xml:space="preserve"> amostras, totalizando 6,1%, apresentaram o somatório das concentrações dos pesticidas DDD+DDE+DDT não conformes</w:t>
      </w:r>
      <w:r>
        <w:rPr>
          <w:rFonts w:cs="Arial"/>
          <w:szCs w:val="20"/>
        </w:rPr>
        <w:t>,</w:t>
      </w:r>
      <w:r w:rsidRPr="004C7E40">
        <w:rPr>
          <w:rFonts w:cs="Arial"/>
          <w:szCs w:val="20"/>
        </w:rPr>
        <w:t xml:space="preserve"> quando comparado ao ano anterior cujas amostras estavam 100% não conformes. </w:t>
      </w:r>
    </w:p>
    <w:p w14:paraId="2D6AA6A5" w14:textId="2CD65101" w:rsidR="00EC0C73" w:rsidRPr="004C7E40" w:rsidRDefault="00EC0C73" w:rsidP="00EC0C73">
      <w:pPr>
        <w:ind w:firstLine="708"/>
        <w:rPr>
          <w:rFonts w:cs="Arial"/>
          <w:szCs w:val="20"/>
        </w:rPr>
      </w:pPr>
      <w:r w:rsidRPr="004C7E40">
        <w:rPr>
          <w:rFonts w:cs="Arial"/>
          <w:szCs w:val="20"/>
        </w:rPr>
        <w:t xml:space="preserve">Considerando-se os limites do NOAA crônico, que apresenta </w:t>
      </w:r>
      <w:r>
        <w:rPr>
          <w:rFonts w:cs="Arial"/>
          <w:szCs w:val="20"/>
        </w:rPr>
        <w:t>um</w:t>
      </w:r>
      <w:r w:rsidRPr="004C7E40">
        <w:rPr>
          <w:rFonts w:cs="Arial"/>
          <w:szCs w:val="20"/>
        </w:rPr>
        <w:t xml:space="preserve"> conjunto maior de limites estabelecidos para os pesticidas do que a resolução CONAMA 357/2005 classe 2, observou-se que o período de transição também exibiu uma diminuição</w:t>
      </w:r>
      <w:r>
        <w:rPr>
          <w:rFonts w:cs="Arial"/>
          <w:szCs w:val="20"/>
        </w:rPr>
        <w:t xml:space="preserve"> das percentagens de</w:t>
      </w:r>
      <w:r w:rsidRPr="004C7E40">
        <w:rPr>
          <w:rFonts w:cs="Arial"/>
          <w:szCs w:val="20"/>
        </w:rPr>
        <w:t xml:space="preserve"> pesticidas não conformes. O período de transição apresentou três parâmetros não conformes: ϒ-BHC (3,0%), DDT (12,2 %) e a somatória DDD+DDE+DDT (15,2%), enquanto o ANO 1 apresentou para os período seco e chuvoso, respectivamente, 3,9% e 1,9 % de não conformidades para o DDD, 100% e 100% para o DDT, e 100% e 100% para a somatória DDD+DDE+DDT. </w:t>
      </w:r>
    </w:p>
    <w:p w14:paraId="6F87CEE5" w14:textId="75F34595" w:rsidR="00EC0C73" w:rsidRDefault="00EC0C73" w:rsidP="00EC0C73">
      <w:pPr>
        <w:ind w:firstLine="708"/>
        <w:rPr>
          <w:rFonts w:cs="Arial"/>
          <w:szCs w:val="20"/>
        </w:rPr>
      </w:pPr>
      <w:r w:rsidRPr="004C7E40">
        <w:rPr>
          <w:rFonts w:cs="Arial"/>
          <w:szCs w:val="20"/>
        </w:rPr>
        <w:t>A</w:t>
      </w:r>
      <w:r w:rsidR="000E6E37">
        <w:rPr>
          <w:rFonts w:cs="Arial"/>
          <w:szCs w:val="20"/>
        </w:rPr>
        <w:t xml:space="preserve"> </w:t>
      </w:r>
      <w:r w:rsidR="009C077D">
        <w:rPr>
          <w:rFonts w:cs="Arial"/>
          <w:szCs w:val="20"/>
        </w:rPr>
        <w:fldChar w:fldCharType="begin"/>
      </w:r>
      <w:r w:rsidR="009C077D">
        <w:rPr>
          <w:rFonts w:cs="Arial"/>
          <w:szCs w:val="20"/>
        </w:rPr>
        <w:instrText xml:space="preserve"> REF _Ref42074935 \h </w:instrText>
      </w:r>
      <w:r w:rsidR="009C077D">
        <w:rPr>
          <w:rFonts w:cs="Arial"/>
          <w:szCs w:val="20"/>
        </w:rPr>
      </w:r>
      <w:r w:rsidR="009C077D">
        <w:rPr>
          <w:rFonts w:cs="Arial"/>
          <w:szCs w:val="20"/>
        </w:rPr>
        <w:fldChar w:fldCharType="separate"/>
      </w:r>
      <w:r w:rsidR="002C014F">
        <w:t xml:space="preserve">Figura </w:t>
      </w:r>
      <w:r w:rsidR="002C014F">
        <w:rPr>
          <w:noProof/>
        </w:rPr>
        <w:t>14</w:t>
      </w:r>
      <w:r w:rsidR="009C077D">
        <w:rPr>
          <w:rFonts w:cs="Arial"/>
          <w:szCs w:val="20"/>
        </w:rPr>
        <w:fldChar w:fldCharType="end"/>
      </w:r>
      <w:r w:rsidRPr="004C7E40">
        <w:rPr>
          <w:rFonts w:cs="Arial"/>
          <w:szCs w:val="20"/>
        </w:rPr>
        <w:t xml:space="preserve"> mostra um gráfico de </w:t>
      </w:r>
      <w:proofErr w:type="spellStart"/>
      <w:r w:rsidRPr="004C7E40">
        <w:rPr>
          <w:rFonts w:cs="Arial"/>
          <w:szCs w:val="20"/>
        </w:rPr>
        <w:t>boxplot</w:t>
      </w:r>
      <w:proofErr w:type="spellEnd"/>
      <w:r w:rsidRPr="004C7E40">
        <w:rPr>
          <w:rFonts w:cs="Arial"/>
          <w:szCs w:val="20"/>
        </w:rPr>
        <w:t xml:space="preserve"> para a somatória DDD+DDE+DDT, parâmetro que apresentou o maior percentual de não conformidades nos três períodos </w:t>
      </w:r>
      <w:r>
        <w:rPr>
          <w:rFonts w:cs="Arial"/>
          <w:szCs w:val="20"/>
        </w:rPr>
        <w:t>(seca e chuvoso do ano 1 e chuvoso da transição) para</w:t>
      </w:r>
      <w:r w:rsidRPr="004C7E40">
        <w:rPr>
          <w:rFonts w:cs="Arial"/>
          <w:szCs w:val="20"/>
        </w:rPr>
        <w:t xml:space="preserve"> quatro tipos de ambientes. Verifica-se que </w:t>
      </w:r>
      <w:r>
        <w:rPr>
          <w:rFonts w:cs="Arial"/>
          <w:szCs w:val="20"/>
        </w:rPr>
        <w:t xml:space="preserve">todos os ambientes do período de transição se comportaram de maneira semelhante. </w:t>
      </w:r>
    </w:p>
    <w:p w14:paraId="481927EB" w14:textId="77777777" w:rsidR="00EC0C73" w:rsidRDefault="00EC0C73" w:rsidP="00EC0C73">
      <w:pPr>
        <w:ind w:firstLine="708"/>
      </w:pPr>
      <w:r>
        <w:rPr>
          <w:rFonts w:cs="Arial"/>
          <w:szCs w:val="20"/>
        </w:rPr>
        <w:t>Mesmo tendo uma queda de não conformidade desses parâmetros, é extremamente necessário monitorá-los, visto que os pesticidas apresentam grande toxicidade e impacto sobre a</w:t>
      </w:r>
      <w:r w:rsidRPr="00371BB0">
        <w:rPr>
          <w:rFonts w:cs="Arial"/>
          <w:szCs w:val="20"/>
        </w:rPr>
        <w:t xml:space="preserve"> saúde humana</w:t>
      </w:r>
      <w:r>
        <w:rPr>
          <w:rFonts w:cs="Arial"/>
          <w:szCs w:val="20"/>
        </w:rPr>
        <w:t xml:space="preserve">, </w:t>
      </w:r>
      <w:r w:rsidRPr="00371BB0">
        <w:rPr>
          <w:rFonts w:cs="Arial"/>
          <w:szCs w:val="20"/>
        </w:rPr>
        <w:t>sendo também apontados como</w:t>
      </w:r>
      <w:r>
        <w:rPr>
          <w:rFonts w:cs="Arial"/>
          <w:szCs w:val="20"/>
        </w:rPr>
        <w:t xml:space="preserve"> </w:t>
      </w:r>
      <w:r w:rsidRPr="00371BB0">
        <w:rPr>
          <w:rFonts w:cs="Arial"/>
          <w:szCs w:val="20"/>
        </w:rPr>
        <w:t>carcinogênicos</w:t>
      </w:r>
      <w:r>
        <w:rPr>
          <w:rFonts w:cs="Arial"/>
          <w:szCs w:val="20"/>
        </w:rPr>
        <w:t xml:space="preserve">, sendo listados </w:t>
      </w:r>
      <w:r w:rsidRPr="00371BB0">
        <w:rPr>
          <w:rFonts w:cs="Arial"/>
          <w:szCs w:val="20"/>
        </w:rPr>
        <w:t>pelo Programa Ambiental das Nações Unidas (UNEP) como poluentes orgânicos persistentes (</w:t>
      </w:r>
      <w:proofErr w:type="spellStart"/>
      <w:r w:rsidRPr="00371BB0">
        <w:rPr>
          <w:rFonts w:cs="Arial"/>
          <w:szCs w:val="20"/>
        </w:rPr>
        <w:t>POPs</w:t>
      </w:r>
      <w:proofErr w:type="spellEnd"/>
      <w:r w:rsidRPr="00371BB0">
        <w:rPr>
          <w:rFonts w:cs="Arial"/>
          <w:szCs w:val="20"/>
        </w:rPr>
        <w:t>) sob a Convenção de Estocolmo em 2001</w:t>
      </w:r>
      <w:r>
        <w:rPr>
          <w:rFonts w:cs="Arial"/>
          <w:szCs w:val="20"/>
        </w:rPr>
        <w:t>. A presença dos pesticidas está associada diretamente às atividades agrícolas, que são fortemente desenvolvidas na região, principalmente devido ao cultivo de café e mamão.</w:t>
      </w:r>
    </w:p>
    <w:p w14:paraId="081D3E9D" w14:textId="565F425C" w:rsidR="00EC0C73" w:rsidRDefault="00EC0C73" w:rsidP="00EC0C73">
      <w:pPr>
        <w:pStyle w:val="Legenda"/>
        <w:keepNext/>
      </w:pPr>
      <w:bookmarkStart w:id="66" w:name="_Ref42074935"/>
      <w:bookmarkStart w:id="67" w:name="_Toc46992148"/>
      <w:r>
        <w:lastRenderedPageBreak/>
        <w:t xml:space="preserve">Figura </w:t>
      </w:r>
      <w:fldSimple w:instr=" SEQ Figura \* ARABIC ">
        <w:r w:rsidR="002C014F">
          <w:rPr>
            <w:noProof/>
          </w:rPr>
          <w:t>14</w:t>
        </w:r>
      </w:fldSimple>
      <w:bookmarkEnd w:id="66"/>
      <w:r>
        <w:t xml:space="preserve"> - Concentrações e índice de não conformidades referentes a somatória dos pesticidas DDD+ DDE+DDT em diferentes períodos e ao longo dos ambientes Rio Guandu, Rio Doce, Lagos e Lagoas.</w:t>
      </w:r>
      <w:bookmarkEnd w:id="67"/>
    </w:p>
    <w:p w14:paraId="64F7B126" w14:textId="77777777" w:rsidR="00EC0C73" w:rsidRDefault="00EC0C73" w:rsidP="00EC0C73">
      <w:pPr>
        <w:jc w:val="center"/>
      </w:pPr>
      <w:r w:rsidRPr="001D6885">
        <w:rPr>
          <w:noProof/>
          <w:lang w:eastAsia="pt-BR"/>
        </w:rPr>
        <w:drawing>
          <wp:inline distT="0" distB="0" distL="0" distR="0" wp14:anchorId="7C9A3874" wp14:editId="08A9BA0F">
            <wp:extent cx="4496227" cy="6840000"/>
            <wp:effectExtent l="0" t="0" r="0" b="0"/>
            <wp:docPr id="98" name="Imagem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96227" cy="6840000"/>
                    </a:xfrm>
                    <a:prstGeom prst="rect">
                      <a:avLst/>
                    </a:prstGeom>
                    <a:noFill/>
                    <a:ln>
                      <a:noFill/>
                    </a:ln>
                  </pic:spPr>
                </pic:pic>
              </a:graphicData>
            </a:graphic>
          </wp:inline>
        </w:drawing>
      </w:r>
    </w:p>
    <w:p w14:paraId="0D53EDC7" w14:textId="46BD6549" w:rsidR="00EC0C73" w:rsidRPr="003372DD" w:rsidRDefault="00EC0C73" w:rsidP="00EC0C73">
      <w:pPr>
        <w:pStyle w:val="Ttulo3"/>
      </w:pPr>
      <w:r>
        <w:br w:type="page"/>
      </w:r>
      <w:bookmarkStart w:id="68" w:name="_Toc46992121"/>
      <w:r w:rsidRPr="003372DD">
        <w:lastRenderedPageBreak/>
        <w:t xml:space="preserve">Hidrocarbonetos </w:t>
      </w:r>
      <w:r>
        <w:t>P</w:t>
      </w:r>
      <w:r w:rsidRPr="003372DD">
        <w:t xml:space="preserve">olicíclicos </w:t>
      </w:r>
      <w:r>
        <w:t>A</w:t>
      </w:r>
      <w:r w:rsidRPr="003372DD">
        <w:t>romáticos – HPAs</w:t>
      </w:r>
      <w:bookmarkEnd w:id="68"/>
      <w:r w:rsidRPr="003372DD">
        <w:tab/>
      </w:r>
    </w:p>
    <w:p w14:paraId="67D59F24" w14:textId="77777777" w:rsidR="00EC0C73" w:rsidRPr="00641C68" w:rsidRDefault="00EC0C73" w:rsidP="00EC0C73">
      <w:pPr>
        <w:rPr>
          <w:rFonts w:cs="Arial"/>
          <w:szCs w:val="20"/>
        </w:rPr>
      </w:pPr>
      <w:r w:rsidRPr="00D41DB6">
        <w:rPr>
          <w:rFonts w:ascii="Times New Roman" w:hAnsi="Times New Roman" w:cs="Times New Roman"/>
          <w:szCs w:val="20"/>
        </w:rPr>
        <w:tab/>
      </w:r>
      <w:r w:rsidRPr="00641C68">
        <w:rPr>
          <w:rFonts w:cs="Arial"/>
          <w:szCs w:val="20"/>
        </w:rPr>
        <w:t>Analis</w:t>
      </w:r>
      <w:r>
        <w:rPr>
          <w:rFonts w:cs="Arial"/>
          <w:szCs w:val="20"/>
        </w:rPr>
        <w:t>aram</w:t>
      </w:r>
      <w:r w:rsidRPr="00641C68">
        <w:rPr>
          <w:rFonts w:cs="Arial"/>
          <w:szCs w:val="20"/>
        </w:rPr>
        <w:t>-se as amostras de água até a 16</w:t>
      </w:r>
      <w:r>
        <w:rPr>
          <w:rFonts w:cs="Arial"/>
          <w:szCs w:val="20"/>
        </w:rPr>
        <w:t>2</w:t>
      </w:r>
      <w:r w:rsidRPr="003372DD">
        <w:rPr>
          <w:rFonts w:cs="Arial"/>
          <w:szCs w:val="20"/>
          <w:vertAlign w:val="superscript"/>
        </w:rPr>
        <w:t>a</w:t>
      </w:r>
      <w:r w:rsidRPr="00641C68">
        <w:rPr>
          <w:rFonts w:cs="Arial"/>
          <w:szCs w:val="20"/>
        </w:rPr>
        <w:t xml:space="preserve"> campanha, totalizando 272 amostras, das quais 68 são do ano de transição, conforme a metodologia de determinação de HPAs proposta no Ano 1. Os 16 HPAs avaliados no período de transição foram os mesmos do Ano 1</w:t>
      </w:r>
      <w:r>
        <w:rPr>
          <w:rFonts w:cs="Arial"/>
          <w:szCs w:val="20"/>
        </w:rPr>
        <w:t>, ou seja</w:t>
      </w:r>
      <w:r w:rsidRPr="00641C68">
        <w:rPr>
          <w:rFonts w:cs="Arial"/>
          <w:szCs w:val="20"/>
        </w:rPr>
        <w:t xml:space="preserve">: Naftaleno, </w:t>
      </w:r>
      <w:proofErr w:type="spellStart"/>
      <w:r w:rsidRPr="00641C68">
        <w:rPr>
          <w:rFonts w:cs="Arial"/>
          <w:szCs w:val="20"/>
        </w:rPr>
        <w:t>Acenaftileno</w:t>
      </w:r>
      <w:proofErr w:type="spellEnd"/>
      <w:r w:rsidRPr="00641C68">
        <w:rPr>
          <w:rFonts w:cs="Arial"/>
          <w:szCs w:val="20"/>
        </w:rPr>
        <w:t xml:space="preserve">, </w:t>
      </w:r>
      <w:proofErr w:type="spellStart"/>
      <w:r w:rsidRPr="00641C68">
        <w:rPr>
          <w:rFonts w:cs="Arial"/>
          <w:szCs w:val="20"/>
        </w:rPr>
        <w:t>Acenafteno</w:t>
      </w:r>
      <w:proofErr w:type="spellEnd"/>
      <w:r w:rsidRPr="00641C68">
        <w:rPr>
          <w:rFonts w:cs="Arial"/>
          <w:szCs w:val="20"/>
        </w:rPr>
        <w:t xml:space="preserve">, </w:t>
      </w:r>
      <w:proofErr w:type="spellStart"/>
      <w:r w:rsidRPr="00641C68">
        <w:rPr>
          <w:rFonts w:cs="Arial"/>
          <w:szCs w:val="20"/>
        </w:rPr>
        <w:t>Fluoreno</w:t>
      </w:r>
      <w:proofErr w:type="spellEnd"/>
      <w:r w:rsidRPr="00641C68">
        <w:rPr>
          <w:rFonts w:cs="Arial"/>
          <w:szCs w:val="20"/>
        </w:rPr>
        <w:t xml:space="preserve">, Fenantreno, Antraceno, Fluoranteno, Pireno, Benzo(a) antraceno, </w:t>
      </w:r>
      <w:proofErr w:type="spellStart"/>
      <w:r w:rsidRPr="00641C68">
        <w:rPr>
          <w:rFonts w:cs="Arial"/>
          <w:szCs w:val="20"/>
        </w:rPr>
        <w:t>Criseno</w:t>
      </w:r>
      <w:proofErr w:type="spellEnd"/>
      <w:r w:rsidRPr="00641C68">
        <w:rPr>
          <w:rFonts w:cs="Arial"/>
          <w:szCs w:val="20"/>
        </w:rPr>
        <w:t xml:space="preserve">, Benzo(b) fluoranteno, Benzo(k) fluoranteno, Benzo(a) pireno, </w:t>
      </w:r>
      <w:proofErr w:type="spellStart"/>
      <w:r w:rsidRPr="00641C68">
        <w:rPr>
          <w:rFonts w:cs="Arial"/>
          <w:szCs w:val="20"/>
        </w:rPr>
        <w:t>Indeno</w:t>
      </w:r>
      <w:proofErr w:type="spellEnd"/>
      <w:r w:rsidRPr="00641C68">
        <w:rPr>
          <w:rFonts w:cs="Arial"/>
          <w:szCs w:val="20"/>
        </w:rPr>
        <w:t xml:space="preserve"> (1,2,3-cd) pireno, </w:t>
      </w:r>
      <w:proofErr w:type="spellStart"/>
      <w:r w:rsidRPr="00641C68">
        <w:rPr>
          <w:rFonts w:cs="Arial"/>
          <w:szCs w:val="20"/>
        </w:rPr>
        <w:t>Dibenzo</w:t>
      </w:r>
      <w:proofErr w:type="spellEnd"/>
      <w:r w:rsidRPr="00641C68">
        <w:rPr>
          <w:rFonts w:cs="Arial"/>
          <w:szCs w:val="20"/>
        </w:rPr>
        <w:t xml:space="preserve"> (</w:t>
      </w:r>
      <w:proofErr w:type="spellStart"/>
      <w:r w:rsidRPr="00641C68">
        <w:rPr>
          <w:rFonts w:cs="Arial"/>
          <w:szCs w:val="20"/>
        </w:rPr>
        <w:t>a,h</w:t>
      </w:r>
      <w:proofErr w:type="spellEnd"/>
      <w:r w:rsidRPr="00641C68">
        <w:rPr>
          <w:rFonts w:cs="Arial"/>
          <w:szCs w:val="20"/>
        </w:rPr>
        <w:t>) antraceno, Benzo (</w:t>
      </w:r>
      <w:proofErr w:type="spellStart"/>
      <w:r w:rsidRPr="00641C68">
        <w:rPr>
          <w:rFonts w:cs="Arial"/>
          <w:szCs w:val="20"/>
        </w:rPr>
        <w:t>g,h,i</w:t>
      </w:r>
      <w:proofErr w:type="spellEnd"/>
      <w:r w:rsidRPr="00641C68">
        <w:rPr>
          <w:rFonts w:cs="Arial"/>
          <w:szCs w:val="20"/>
        </w:rPr>
        <w:t xml:space="preserve">) </w:t>
      </w:r>
      <w:proofErr w:type="spellStart"/>
      <w:r w:rsidRPr="00641C68">
        <w:rPr>
          <w:rFonts w:cs="Arial"/>
          <w:szCs w:val="20"/>
        </w:rPr>
        <w:t>perileno</w:t>
      </w:r>
      <w:proofErr w:type="spellEnd"/>
      <w:r w:rsidRPr="00641C68">
        <w:rPr>
          <w:rFonts w:cs="Arial"/>
          <w:szCs w:val="20"/>
        </w:rPr>
        <w:t xml:space="preserve">.  </w:t>
      </w:r>
    </w:p>
    <w:p w14:paraId="09471C98" w14:textId="34E675CF" w:rsidR="00EC0C73" w:rsidRPr="00641C68" w:rsidRDefault="00EC0C73" w:rsidP="00EC0C73">
      <w:pPr>
        <w:rPr>
          <w:rFonts w:cs="Arial"/>
          <w:szCs w:val="20"/>
        </w:rPr>
      </w:pPr>
      <w:r w:rsidRPr="00641C68">
        <w:rPr>
          <w:rFonts w:cs="Arial"/>
          <w:szCs w:val="20"/>
        </w:rPr>
        <w:tab/>
        <w:t xml:space="preserve">A </w:t>
      </w:r>
      <w:r w:rsidR="000E6E37">
        <w:rPr>
          <w:rFonts w:cs="Arial"/>
          <w:szCs w:val="20"/>
        </w:rPr>
        <w:fldChar w:fldCharType="begin"/>
      </w:r>
      <w:r w:rsidR="000E6E37">
        <w:rPr>
          <w:rFonts w:cs="Arial"/>
          <w:szCs w:val="20"/>
        </w:rPr>
        <w:instrText xml:space="preserve"> REF _Ref42074973 \h </w:instrText>
      </w:r>
      <w:r w:rsidR="000E6E37">
        <w:rPr>
          <w:rFonts w:cs="Arial"/>
          <w:szCs w:val="20"/>
        </w:rPr>
      </w:r>
      <w:r w:rsidR="000E6E37">
        <w:rPr>
          <w:rFonts w:cs="Arial"/>
          <w:szCs w:val="20"/>
        </w:rPr>
        <w:fldChar w:fldCharType="separate"/>
      </w:r>
      <w:r w:rsidR="002C014F">
        <w:t xml:space="preserve">Figura </w:t>
      </w:r>
      <w:r w:rsidR="002C014F">
        <w:rPr>
          <w:noProof/>
        </w:rPr>
        <w:t>15</w:t>
      </w:r>
      <w:r w:rsidR="000E6E37">
        <w:rPr>
          <w:rFonts w:cs="Arial"/>
          <w:szCs w:val="20"/>
        </w:rPr>
        <w:fldChar w:fldCharType="end"/>
      </w:r>
      <w:r w:rsidR="000E6E37">
        <w:rPr>
          <w:rFonts w:cs="Arial"/>
          <w:color w:val="FF0000"/>
          <w:szCs w:val="20"/>
        </w:rPr>
        <w:t xml:space="preserve"> </w:t>
      </w:r>
      <w:r w:rsidRPr="00641C68">
        <w:rPr>
          <w:rFonts w:cs="Arial"/>
          <w:szCs w:val="20"/>
        </w:rPr>
        <w:t>apresenta o gráfico de box-</w:t>
      </w:r>
      <w:proofErr w:type="spellStart"/>
      <w:r w:rsidRPr="00641C68">
        <w:rPr>
          <w:rFonts w:cs="Arial"/>
          <w:szCs w:val="20"/>
        </w:rPr>
        <w:t>plot</w:t>
      </w:r>
      <w:proofErr w:type="spellEnd"/>
      <w:r w:rsidRPr="00641C68">
        <w:rPr>
          <w:rFonts w:cs="Arial"/>
          <w:szCs w:val="20"/>
        </w:rPr>
        <w:t xml:space="preserve"> para os HPAs totais (somatória dos 16 HPAs analisados) em água nos diferentes ambientes ao longo dos três períodos</w:t>
      </w:r>
      <w:r>
        <w:rPr>
          <w:rFonts w:cs="Arial"/>
          <w:szCs w:val="20"/>
        </w:rPr>
        <w:t xml:space="preserve"> (seca e chuvoso do ano 1 e chuvoso da transição)</w:t>
      </w:r>
      <w:r w:rsidRPr="00641C68">
        <w:rPr>
          <w:rFonts w:cs="Arial"/>
          <w:szCs w:val="20"/>
        </w:rPr>
        <w:t>. Percebe-se que em todos ambientes houve uma diminuição significativa das concentrações de HPAs total no período de transição (</w:t>
      </w:r>
      <w:proofErr w:type="spellStart"/>
      <w:r w:rsidRPr="00641C68">
        <w:rPr>
          <w:rFonts w:cs="Arial"/>
          <w:szCs w:val="20"/>
        </w:rPr>
        <w:t>nov</w:t>
      </w:r>
      <w:proofErr w:type="spellEnd"/>
      <w:r w:rsidRPr="00641C68">
        <w:rPr>
          <w:rFonts w:cs="Arial"/>
          <w:szCs w:val="20"/>
        </w:rPr>
        <w:t xml:space="preserve">/2019 a </w:t>
      </w:r>
      <w:proofErr w:type="spellStart"/>
      <w:r w:rsidRPr="00641C68">
        <w:rPr>
          <w:rFonts w:cs="Arial"/>
          <w:szCs w:val="20"/>
        </w:rPr>
        <w:t>fev</w:t>
      </w:r>
      <w:proofErr w:type="spellEnd"/>
      <w:r w:rsidRPr="00641C68">
        <w:rPr>
          <w:rFonts w:cs="Arial"/>
          <w:szCs w:val="20"/>
        </w:rPr>
        <w:t xml:space="preserve"> 2020) quando comparado com o Ano 1. Uma hipótese para esse comportamento são as intensas chuvas ocorridas nesse período, as quais </w:t>
      </w:r>
      <w:r>
        <w:rPr>
          <w:rFonts w:cs="Arial"/>
          <w:szCs w:val="20"/>
        </w:rPr>
        <w:t>trouxeram para os ambientes</w:t>
      </w:r>
      <w:r w:rsidRPr="00641C68">
        <w:rPr>
          <w:rFonts w:cs="Arial"/>
          <w:szCs w:val="20"/>
        </w:rPr>
        <w:t xml:space="preserve"> um intenso volume de água e consequentemente </w:t>
      </w:r>
      <w:r>
        <w:rPr>
          <w:rFonts w:cs="Arial"/>
          <w:szCs w:val="20"/>
        </w:rPr>
        <w:t>permitiram uma</w:t>
      </w:r>
      <w:r w:rsidRPr="00641C68">
        <w:rPr>
          <w:rFonts w:cs="Arial"/>
          <w:szCs w:val="20"/>
        </w:rPr>
        <w:t xml:space="preserve"> diminuição da concentração desses </w:t>
      </w:r>
      <w:r>
        <w:rPr>
          <w:rFonts w:cs="Arial"/>
          <w:szCs w:val="20"/>
        </w:rPr>
        <w:t>poluentes</w:t>
      </w:r>
      <w:r w:rsidRPr="00641C68">
        <w:rPr>
          <w:rFonts w:cs="Arial"/>
          <w:szCs w:val="20"/>
        </w:rPr>
        <w:t>.</w:t>
      </w:r>
    </w:p>
    <w:p w14:paraId="0820B802" w14:textId="77777777" w:rsidR="00EC0C73" w:rsidRDefault="00EC0C73" w:rsidP="00EC0C73">
      <w:pPr>
        <w:rPr>
          <w:iCs/>
          <w:sz w:val="16"/>
          <w:szCs w:val="18"/>
        </w:rPr>
      </w:pPr>
      <w:r>
        <w:br w:type="page"/>
      </w:r>
    </w:p>
    <w:p w14:paraId="6A3FCE76" w14:textId="6150EE01" w:rsidR="00EC0C73" w:rsidRPr="006D0724" w:rsidRDefault="00EC0C73" w:rsidP="00CF3145">
      <w:pPr>
        <w:pStyle w:val="Legenda"/>
        <w:keepNext/>
      </w:pPr>
      <w:bookmarkStart w:id="69" w:name="_Ref42074973"/>
      <w:bookmarkStart w:id="70" w:name="_Toc46992149"/>
      <w:r>
        <w:lastRenderedPageBreak/>
        <w:t xml:space="preserve">Figura </w:t>
      </w:r>
      <w:fldSimple w:instr=" SEQ Figura \* ARABIC ">
        <w:r w:rsidR="002C014F">
          <w:rPr>
            <w:noProof/>
          </w:rPr>
          <w:t>15</w:t>
        </w:r>
      </w:fldSimple>
      <w:bookmarkEnd w:id="69"/>
      <w:r>
        <w:t xml:space="preserve"> - </w:t>
      </w:r>
      <w:r w:rsidRPr="000C2FC7">
        <w:t>Variabilidade das concentrações de diferentes hidrocarbonetos poliaromáticos</w:t>
      </w:r>
      <w:r>
        <w:t xml:space="preserve"> nas 272 amostras de água analisadas das 12 estações de coleta, agrupadas por nos ambientes Rio Guandu, Rio Doce, Lagos e Lagoas ao longo dos períodos out/18 a mar/2019 (período chuvoso- ANO 1), </w:t>
      </w:r>
      <w:proofErr w:type="spellStart"/>
      <w:r>
        <w:t>abr</w:t>
      </w:r>
      <w:proofErr w:type="spellEnd"/>
      <w:r>
        <w:t xml:space="preserve">/19 a set/2019 (período de estiagem- ANO 1) e </w:t>
      </w:r>
      <w:proofErr w:type="spellStart"/>
      <w:r>
        <w:t>nov</w:t>
      </w:r>
      <w:proofErr w:type="spellEnd"/>
      <w:r>
        <w:t xml:space="preserve">/19 a </w:t>
      </w:r>
      <w:proofErr w:type="spellStart"/>
      <w:r>
        <w:t>fev</w:t>
      </w:r>
      <w:proofErr w:type="spellEnd"/>
      <w:r>
        <w:t>/2020 (período chuvoso- ANO de transição).</w:t>
      </w:r>
      <w:bookmarkEnd w:id="70"/>
    </w:p>
    <w:p w14:paraId="62D21DF0" w14:textId="049EE7EC" w:rsidR="005C2856" w:rsidRDefault="00EC0C73" w:rsidP="005C2856">
      <w:pPr>
        <w:jc w:val="center"/>
      </w:pPr>
      <w:r>
        <w:rPr>
          <w:noProof/>
          <w:color w:val="FF0000"/>
          <w:lang w:eastAsia="pt-BR"/>
        </w:rPr>
        <w:drawing>
          <wp:inline distT="0" distB="0" distL="0" distR="0" wp14:anchorId="6FE13681" wp14:editId="09A75634">
            <wp:extent cx="3583137" cy="6840000"/>
            <wp:effectExtent l="0" t="0" r="0" b="0"/>
            <wp:docPr id="110" name="Imagem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83137" cy="6840000"/>
                    </a:xfrm>
                    <a:prstGeom prst="rect">
                      <a:avLst/>
                    </a:prstGeom>
                    <a:noFill/>
                    <a:ln>
                      <a:noFill/>
                    </a:ln>
                  </pic:spPr>
                </pic:pic>
              </a:graphicData>
            </a:graphic>
          </wp:inline>
        </w:drawing>
      </w:r>
      <w:r w:rsidR="005C2856">
        <w:br w:type="page"/>
      </w:r>
    </w:p>
    <w:p w14:paraId="379DEBEB" w14:textId="51406EF7" w:rsidR="00EC0C73" w:rsidRPr="005C2856" w:rsidRDefault="00EC0C73" w:rsidP="005C2856">
      <w:pPr>
        <w:ind w:firstLine="708"/>
      </w:pPr>
      <w:r w:rsidRPr="000D2904">
        <w:rPr>
          <w:rFonts w:cs="Arial"/>
          <w:szCs w:val="20"/>
        </w:rPr>
        <w:lastRenderedPageBreak/>
        <w:t xml:space="preserve">Avaliando-se espacialmente o </w:t>
      </w:r>
      <w:r>
        <w:rPr>
          <w:rFonts w:cs="Arial"/>
          <w:szCs w:val="20"/>
        </w:rPr>
        <w:t>a</w:t>
      </w:r>
      <w:r w:rsidRPr="000D2904">
        <w:rPr>
          <w:rFonts w:cs="Arial"/>
          <w:szCs w:val="20"/>
        </w:rPr>
        <w:t>no de transição ao lo</w:t>
      </w:r>
      <w:r>
        <w:rPr>
          <w:rFonts w:cs="Arial"/>
          <w:szCs w:val="20"/>
        </w:rPr>
        <w:t>ngo dos ambientes, por meio dos dados da</w:t>
      </w:r>
      <w:r w:rsidR="00C354D5">
        <w:rPr>
          <w:rFonts w:cs="Arial"/>
          <w:szCs w:val="20"/>
        </w:rPr>
        <w:t xml:space="preserve"> </w:t>
      </w:r>
      <w:r w:rsidR="00C354D5">
        <w:rPr>
          <w:rFonts w:cs="Arial"/>
          <w:szCs w:val="20"/>
        </w:rPr>
        <w:fldChar w:fldCharType="begin"/>
      </w:r>
      <w:r w:rsidR="00C354D5">
        <w:rPr>
          <w:rFonts w:cs="Arial"/>
          <w:szCs w:val="20"/>
        </w:rPr>
        <w:instrText xml:space="preserve"> REF _Ref42075022 \h </w:instrText>
      </w:r>
      <w:r w:rsidR="005C2856">
        <w:rPr>
          <w:rFonts w:cs="Arial"/>
          <w:szCs w:val="20"/>
        </w:rPr>
        <w:instrText xml:space="preserve"> \* MERGEFORMAT </w:instrText>
      </w:r>
      <w:r w:rsidR="00C354D5">
        <w:rPr>
          <w:rFonts w:cs="Arial"/>
          <w:szCs w:val="20"/>
        </w:rPr>
      </w:r>
      <w:r w:rsidR="00C354D5">
        <w:rPr>
          <w:rFonts w:cs="Arial"/>
          <w:szCs w:val="20"/>
        </w:rPr>
        <w:fldChar w:fldCharType="separate"/>
      </w:r>
      <w:r w:rsidR="002C014F">
        <w:t xml:space="preserve">Figura </w:t>
      </w:r>
      <w:r w:rsidR="002C014F">
        <w:rPr>
          <w:noProof/>
        </w:rPr>
        <w:t>16</w:t>
      </w:r>
      <w:r w:rsidR="00C354D5">
        <w:rPr>
          <w:rFonts w:cs="Arial"/>
          <w:szCs w:val="20"/>
        </w:rPr>
        <w:fldChar w:fldCharType="end"/>
      </w:r>
      <w:r w:rsidRPr="000D2904">
        <w:rPr>
          <w:rFonts w:cs="Arial"/>
          <w:szCs w:val="20"/>
        </w:rPr>
        <w:t xml:space="preserve">, verificou-se que os ambientes </w:t>
      </w:r>
      <w:r>
        <w:rPr>
          <w:rFonts w:cs="Arial"/>
          <w:szCs w:val="20"/>
        </w:rPr>
        <w:t xml:space="preserve">do </w:t>
      </w:r>
      <w:r w:rsidRPr="000D2904">
        <w:rPr>
          <w:rFonts w:cs="Arial"/>
          <w:szCs w:val="20"/>
        </w:rPr>
        <w:t>Rio Guandu e Rio Doce apresentaram as maiores concentrações destas espécies em relação aos demais ambientes. Verificou-se também que a distribuição de HPAs em todos os ambientes comportou</w:t>
      </w:r>
      <w:r>
        <w:rPr>
          <w:rFonts w:cs="Arial"/>
          <w:szCs w:val="20"/>
        </w:rPr>
        <w:t>-se</w:t>
      </w:r>
      <w:r w:rsidRPr="000D2904">
        <w:rPr>
          <w:rFonts w:cs="Arial"/>
          <w:szCs w:val="20"/>
        </w:rPr>
        <w:t xml:space="preserve"> de forma similar, apresentando as maiores variabilidades de concentrações para o fenantreno, antraceno e pireno, sendo o fenantreno o </w:t>
      </w:r>
      <w:r>
        <w:rPr>
          <w:rFonts w:cs="Arial"/>
          <w:szCs w:val="20"/>
        </w:rPr>
        <w:t xml:space="preserve">composto </w:t>
      </w:r>
      <w:r w:rsidRPr="000D2904">
        <w:rPr>
          <w:rFonts w:cs="Arial"/>
          <w:szCs w:val="20"/>
        </w:rPr>
        <w:t>de maior concentração e ocorrência. Essa distribuição foi a mesma observada no ANO1.</w:t>
      </w:r>
      <w:r w:rsidRPr="000D2904">
        <w:rPr>
          <w:rFonts w:cs="Arial"/>
          <w:szCs w:val="20"/>
        </w:rPr>
        <w:br w:type="page"/>
      </w:r>
    </w:p>
    <w:p w14:paraId="40705A42" w14:textId="024E3597" w:rsidR="00EC0C73" w:rsidRPr="0018042E" w:rsidRDefault="00EC0C73" w:rsidP="00EC0C73">
      <w:pPr>
        <w:pStyle w:val="Legenda"/>
        <w:keepNext/>
      </w:pPr>
      <w:bookmarkStart w:id="71" w:name="_Ref42075022"/>
      <w:bookmarkStart w:id="72" w:name="_Toc46992150"/>
      <w:r>
        <w:lastRenderedPageBreak/>
        <w:t xml:space="preserve">Figura </w:t>
      </w:r>
      <w:fldSimple w:instr=" SEQ Figura \* ARABIC ">
        <w:r w:rsidR="002C014F">
          <w:rPr>
            <w:noProof/>
          </w:rPr>
          <w:t>16</w:t>
        </w:r>
      </w:fldSimple>
      <w:bookmarkEnd w:id="71"/>
      <w:r>
        <w:t xml:space="preserve"> - Variabilidade das concentrações de diferentes hidrocarbonetos poliaromáticos nas 68 amostras de água analisadas no período de transição (</w:t>
      </w:r>
      <w:proofErr w:type="spellStart"/>
      <w:r>
        <w:t>nov</w:t>
      </w:r>
      <w:proofErr w:type="spellEnd"/>
      <w:r>
        <w:t xml:space="preserve">/2019 a </w:t>
      </w:r>
      <w:proofErr w:type="spellStart"/>
      <w:r>
        <w:t>fev</w:t>
      </w:r>
      <w:proofErr w:type="spellEnd"/>
      <w:r>
        <w:t xml:space="preserve">/2020) agrupadas em diferentes ambientes (Rio </w:t>
      </w:r>
      <w:proofErr w:type="spellStart"/>
      <w:r>
        <w:t>Guandú</w:t>
      </w:r>
      <w:proofErr w:type="spellEnd"/>
      <w:r>
        <w:t>, Rio Doce, Lagos e Lagoas).</w:t>
      </w:r>
      <w:bookmarkEnd w:id="72"/>
    </w:p>
    <w:p w14:paraId="31435F2F" w14:textId="77777777" w:rsidR="00EC0C73" w:rsidRDefault="00EC0C73" w:rsidP="00EC0C73">
      <w:pPr>
        <w:jc w:val="center"/>
      </w:pPr>
      <w:r w:rsidRPr="005E3C7D">
        <w:rPr>
          <w:noProof/>
          <w:lang w:eastAsia="pt-BR"/>
        </w:rPr>
        <w:drawing>
          <wp:inline distT="0" distB="0" distL="0" distR="0" wp14:anchorId="26DBDEFE" wp14:editId="7AA99C6E">
            <wp:extent cx="4000834" cy="6840000"/>
            <wp:effectExtent l="0" t="0" r="0" b="0"/>
            <wp:docPr id="90" name="Imagem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000834" cy="6840000"/>
                    </a:xfrm>
                    <a:prstGeom prst="rect">
                      <a:avLst/>
                    </a:prstGeom>
                    <a:noFill/>
                    <a:ln>
                      <a:noFill/>
                    </a:ln>
                  </pic:spPr>
                </pic:pic>
              </a:graphicData>
            </a:graphic>
          </wp:inline>
        </w:drawing>
      </w:r>
    </w:p>
    <w:p w14:paraId="00A75350" w14:textId="0E81C9D6" w:rsidR="00EC0C73" w:rsidRPr="00641C68" w:rsidRDefault="00EC0C73" w:rsidP="00EC0C73">
      <w:pPr>
        <w:ind w:firstLine="708"/>
        <w:rPr>
          <w:rFonts w:cs="Arial"/>
          <w:szCs w:val="20"/>
        </w:rPr>
      </w:pPr>
      <w:r w:rsidRPr="00641C68">
        <w:rPr>
          <w:rFonts w:cs="Arial"/>
          <w:szCs w:val="20"/>
        </w:rPr>
        <w:t xml:space="preserve">Dados numéricos que apresentam os limites e os valores percentuais de não conformidades referentes aos HPA para os três períodos estão apresentados na </w:t>
      </w:r>
      <w:r w:rsidR="00C354D5">
        <w:rPr>
          <w:rFonts w:cs="Arial"/>
          <w:szCs w:val="20"/>
        </w:rPr>
        <w:fldChar w:fldCharType="begin"/>
      </w:r>
      <w:r w:rsidR="00C354D5">
        <w:rPr>
          <w:rFonts w:cs="Arial"/>
          <w:szCs w:val="20"/>
        </w:rPr>
        <w:instrText xml:space="preserve"> REF _Ref42075074 \h </w:instrText>
      </w:r>
      <w:r w:rsidR="00C354D5">
        <w:rPr>
          <w:rFonts w:cs="Arial"/>
          <w:szCs w:val="20"/>
        </w:rPr>
      </w:r>
      <w:r w:rsidR="00C354D5">
        <w:rPr>
          <w:rFonts w:cs="Arial"/>
          <w:szCs w:val="20"/>
        </w:rPr>
        <w:fldChar w:fldCharType="separate"/>
      </w:r>
      <w:r w:rsidR="002C014F">
        <w:t xml:space="preserve">Tabela </w:t>
      </w:r>
      <w:r w:rsidR="002C014F">
        <w:rPr>
          <w:noProof/>
        </w:rPr>
        <w:t>9</w:t>
      </w:r>
      <w:r w:rsidR="00C354D5">
        <w:rPr>
          <w:rFonts w:cs="Arial"/>
          <w:szCs w:val="20"/>
        </w:rPr>
        <w:fldChar w:fldCharType="end"/>
      </w:r>
      <w:r w:rsidR="00C354D5">
        <w:rPr>
          <w:rFonts w:cs="Arial"/>
          <w:szCs w:val="20"/>
        </w:rPr>
        <w:t>.</w:t>
      </w:r>
    </w:p>
    <w:p w14:paraId="436AB497" w14:textId="2D57F326" w:rsidR="008308DE" w:rsidRDefault="00EC0C73" w:rsidP="00CF3145">
      <w:pPr>
        <w:pStyle w:val="Legenda"/>
        <w:keepNext/>
      </w:pPr>
      <w:bookmarkStart w:id="73" w:name="_Ref42075074"/>
      <w:bookmarkStart w:id="74" w:name="_Toc46992184"/>
      <w:r>
        <w:lastRenderedPageBreak/>
        <w:t xml:space="preserve">Tabela </w:t>
      </w:r>
      <w:fldSimple w:instr=" SEQ Tabela \* ARABIC ">
        <w:r w:rsidR="002C014F">
          <w:rPr>
            <w:noProof/>
          </w:rPr>
          <w:t>9</w:t>
        </w:r>
      </w:fldSimple>
      <w:bookmarkEnd w:id="73"/>
      <w:r>
        <w:t xml:space="preserve"> - Limites CONAMA classe 2 e NOAA crônico, bem como índices de não conformidade para todas as amostras analisadas para os poliaromáticos</w:t>
      </w:r>
      <w:bookmarkEnd w:id="74"/>
      <w:r>
        <w:t xml:space="preserve"> </w:t>
      </w:r>
    </w:p>
    <w:p w14:paraId="14EF25AC" w14:textId="7F80CC8A" w:rsidR="005C2856" w:rsidRDefault="00846ECA" w:rsidP="00CF3145">
      <w:pPr>
        <w:pStyle w:val="Legenda"/>
        <w:keepNext/>
      </w:pPr>
      <w:r w:rsidRPr="005B6510">
        <w:rPr>
          <w:noProof/>
          <w:lang w:eastAsia="pt-BR"/>
        </w:rPr>
        <w:drawing>
          <wp:inline distT="0" distB="0" distL="0" distR="0" wp14:anchorId="31158B4D" wp14:editId="1E44938F">
            <wp:extent cx="4513441" cy="6120000"/>
            <wp:effectExtent l="0" t="0" r="1905"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513441" cy="6120000"/>
                    </a:xfrm>
                    <a:prstGeom prst="rect">
                      <a:avLst/>
                    </a:prstGeom>
                    <a:noFill/>
                    <a:ln>
                      <a:noFill/>
                    </a:ln>
                  </pic:spPr>
                </pic:pic>
              </a:graphicData>
            </a:graphic>
          </wp:inline>
        </w:drawing>
      </w:r>
    </w:p>
    <w:p w14:paraId="0B33D92D" w14:textId="77777777" w:rsidR="005C2856" w:rsidRDefault="005C2856">
      <w:pPr>
        <w:spacing w:before="0" w:line="259" w:lineRule="auto"/>
        <w:jc w:val="left"/>
        <w:rPr>
          <w:iCs/>
          <w:sz w:val="16"/>
          <w:szCs w:val="18"/>
        </w:rPr>
      </w:pPr>
      <w:r>
        <w:br w:type="page"/>
      </w:r>
    </w:p>
    <w:p w14:paraId="3584F6EA" w14:textId="392D044B" w:rsidR="00EC0C73" w:rsidRPr="002C7F04" w:rsidRDefault="00EC0C73" w:rsidP="00EC0C73">
      <w:pPr>
        <w:ind w:firstLine="708"/>
        <w:rPr>
          <w:rFonts w:cs="Arial"/>
          <w:szCs w:val="20"/>
        </w:rPr>
      </w:pPr>
      <w:r w:rsidRPr="002C7F04">
        <w:rPr>
          <w:rFonts w:cs="Arial"/>
          <w:szCs w:val="20"/>
        </w:rPr>
        <w:lastRenderedPageBreak/>
        <w:t xml:space="preserve">Observou-se, por meio </w:t>
      </w:r>
      <w:r>
        <w:rPr>
          <w:rFonts w:cs="Arial"/>
          <w:szCs w:val="20"/>
        </w:rPr>
        <w:t xml:space="preserve">dos dados </w:t>
      </w:r>
      <w:r w:rsidRPr="002C7F04">
        <w:rPr>
          <w:rFonts w:cs="Arial"/>
          <w:szCs w:val="20"/>
        </w:rPr>
        <w:t xml:space="preserve">da </w:t>
      </w:r>
      <w:r w:rsidR="00C354D5">
        <w:rPr>
          <w:rFonts w:cs="Arial"/>
          <w:szCs w:val="20"/>
        </w:rPr>
        <w:fldChar w:fldCharType="begin"/>
      </w:r>
      <w:r w:rsidR="00C354D5">
        <w:rPr>
          <w:rFonts w:cs="Arial"/>
          <w:szCs w:val="20"/>
        </w:rPr>
        <w:instrText xml:space="preserve"> REF _Ref42075074 \h </w:instrText>
      </w:r>
      <w:r w:rsidR="00C354D5">
        <w:rPr>
          <w:rFonts w:cs="Arial"/>
          <w:szCs w:val="20"/>
        </w:rPr>
      </w:r>
      <w:r w:rsidR="00C354D5">
        <w:rPr>
          <w:rFonts w:cs="Arial"/>
          <w:szCs w:val="20"/>
        </w:rPr>
        <w:fldChar w:fldCharType="separate"/>
      </w:r>
      <w:r w:rsidR="002C014F">
        <w:t xml:space="preserve">Tabela </w:t>
      </w:r>
      <w:r w:rsidR="002C014F">
        <w:rPr>
          <w:noProof/>
        </w:rPr>
        <w:t>9</w:t>
      </w:r>
      <w:r w:rsidR="00C354D5">
        <w:rPr>
          <w:rFonts w:cs="Arial"/>
          <w:szCs w:val="20"/>
        </w:rPr>
        <w:fldChar w:fldCharType="end"/>
      </w:r>
      <w:r w:rsidRPr="002C7F04">
        <w:rPr>
          <w:rFonts w:cs="Arial"/>
          <w:szCs w:val="20"/>
        </w:rPr>
        <w:t>, que o período de transição apresentou uma di</w:t>
      </w:r>
      <w:r>
        <w:rPr>
          <w:rFonts w:cs="Arial"/>
          <w:szCs w:val="20"/>
        </w:rPr>
        <w:t xml:space="preserve">minuição dos HPAs não conformes, segundo a </w:t>
      </w:r>
      <w:r w:rsidRPr="002C7F04">
        <w:rPr>
          <w:rFonts w:cs="Arial"/>
          <w:szCs w:val="20"/>
        </w:rPr>
        <w:t xml:space="preserve">resolução CONAMA 357/2005 classe 2. Nesse período, apenas o composto benzo(b)fluoranteno não estava conforme em apenas </w:t>
      </w:r>
      <w:r w:rsidR="005C2856">
        <w:rPr>
          <w:rFonts w:cs="Arial"/>
          <w:szCs w:val="20"/>
        </w:rPr>
        <w:br/>
      </w:r>
      <w:r w:rsidRPr="002C7F04">
        <w:rPr>
          <w:rFonts w:cs="Arial"/>
          <w:szCs w:val="20"/>
        </w:rPr>
        <w:t xml:space="preserve">1,6 % das amostras, enquanto que na estação chuvosa (out/18 a mar/2019) do ANO 1 três parâmetros estavam não conformes: benzo(a) antraceno (0,9%), </w:t>
      </w:r>
      <w:proofErr w:type="spellStart"/>
      <w:r w:rsidRPr="002C7F04">
        <w:rPr>
          <w:rFonts w:cs="Arial"/>
          <w:szCs w:val="20"/>
        </w:rPr>
        <w:t>criseno</w:t>
      </w:r>
      <w:proofErr w:type="spellEnd"/>
      <w:r w:rsidRPr="002C7F04">
        <w:rPr>
          <w:rFonts w:cs="Arial"/>
          <w:szCs w:val="20"/>
        </w:rPr>
        <w:t xml:space="preserve"> (4,6%), benzo(b) fluoranteno (1,9%), </w:t>
      </w:r>
      <w:proofErr w:type="spellStart"/>
      <w:r w:rsidRPr="002C7F04">
        <w:rPr>
          <w:rFonts w:cs="Arial"/>
          <w:szCs w:val="20"/>
        </w:rPr>
        <w:t>Indeno</w:t>
      </w:r>
      <w:proofErr w:type="spellEnd"/>
      <w:r w:rsidRPr="002C7F04">
        <w:rPr>
          <w:rFonts w:cs="Arial"/>
          <w:szCs w:val="20"/>
        </w:rPr>
        <w:t xml:space="preserve"> (1,2,3-cd)pireno (0,9%), e na estação de estiagem (</w:t>
      </w:r>
      <w:proofErr w:type="spellStart"/>
      <w:r w:rsidRPr="002C7F04">
        <w:rPr>
          <w:rFonts w:cs="Arial"/>
          <w:szCs w:val="20"/>
        </w:rPr>
        <w:t>abr</w:t>
      </w:r>
      <w:proofErr w:type="spellEnd"/>
      <w:r w:rsidRPr="002C7F04">
        <w:rPr>
          <w:rFonts w:cs="Arial"/>
          <w:szCs w:val="20"/>
        </w:rPr>
        <w:t>/19 a set/2019) dois parâmetros estavam não conformes: benzo(a) antraceno (1,9%), benzo(b) fluoranteno (2,8%).</w:t>
      </w:r>
    </w:p>
    <w:p w14:paraId="49012C69" w14:textId="77777777" w:rsidR="00EC0C73" w:rsidRPr="002C7F04" w:rsidRDefault="00EC0C73" w:rsidP="00EC0C73">
      <w:pPr>
        <w:ind w:firstLine="708"/>
        <w:rPr>
          <w:rFonts w:cs="Arial"/>
          <w:szCs w:val="20"/>
        </w:rPr>
      </w:pPr>
      <w:r w:rsidRPr="002C7F04">
        <w:rPr>
          <w:rFonts w:cs="Arial"/>
          <w:szCs w:val="20"/>
        </w:rPr>
        <w:t>Considerando-se os limites do NOAA crônico, que apresenta</w:t>
      </w:r>
      <w:r>
        <w:rPr>
          <w:rFonts w:cs="Arial"/>
          <w:szCs w:val="20"/>
        </w:rPr>
        <w:t>m</w:t>
      </w:r>
      <w:r w:rsidRPr="002C7F04">
        <w:rPr>
          <w:rFonts w:cs="Arial"/>
          <w:szCs w:val="20"/>
        </w:rPr>
        <w:t xml:space="preserve"> um rigor maior para os compostos fluoranteno, pireno, benzo(a) antraceno, benzo(a) pireno do que a resolução CONAMA 357/2005 classe 2, observou-se que o período de transição exibiu uma diminuição dos HPAs não conforme</w:t>
      </w:r>
      <w:r>
        <w:rPr>
          <w:rFonts w:cs="Arial"/>
          <w:szCs w:val="20"/>
        </w:rPr>
        <w:t>s,</w:t>
      </w:r>
      <w:r w:rsidRPr="002C7F04">
        <w:rPr>
          <w:rFonts w:cs="Arial"/>
          <w:szCs w:val="20"/>
        </w:rPr>
        <w:t xml:space="preserve"> quando comparados aos limites do NOAA crônico. O período de transição apresentou dois parâmetros não conformes: Pireno (13,1%) e benzo(a) antraceno (1,6 %), enquanto que no 1° período do ANO 1</w:t>
      </w:r>
      <w:r>
        <w:rPr>
          <w:rFonts w:cs="Arial"/>
          <w:szCs w:val="20"/>
        </w:rPr>
        <w:t>,</w:t>
      </w:r>
      <w:r w:rsidRPr="002C7F04">
        <w:rPr>
          <w:rFonts w:cs="Arial"/>
          <w:szCs w:val="20"/>
        </w:rPr>
        <w:t xml:space="preserve"> três parâmetros estavam não conformes: fluoranteno (2,8%), pireno (27,8%), benzo(a) antraceno (2,8%)</w:t>
      </w:r>
      <w:r>
        <w:rPr>
          <w:rFonts w:cs="Arial"/>
          <w:szCs w:val="20"/>
        </w:rPr>
        <w:t>. N</w:t>
      </w:r>
      <w:r w:rsidRPr="002C7F04">
        <w:rPr>
          <w:rFonts w:cs="Arial"/>
          <w:szCs w:val="20"/>
        </w:rPr>
        <w:t>o 2° período do ANO 1</w:t>
      </w:r>
      <w:r>
        <w:rPr>
          <w:rFonts w:cs="Arial"/>
          <w:szCs w:val="20"/>
        </w:rPr>
        <w:t>,</w:t>
      </w:r>
      <w:r w:rsidRPr="002C7F04">
        <w:rPr>
          <w:rFonts w:cs="Arial"/>
          <w:szCs w:val="20"/>
        </w:rPr>
        <w:t xml:space="preserve"> quatro parâmetros estavam não conformes: fluoranteno (4,7%), pireno (32,7%), benzo(a) antraceno (8,4%), benzo(a) pireno (15%). </w:t>
      </w:r>
      <w:r>
        <w:rPr>
          <w:rFonts w:cs="Arial"/>
          <w:szCs w:val="20"/>
        </w:rPr>
        <w:t>Os resultados, mais uma vez,</w:t>
      </w:r>
      <w:r w:rsidRPr="002C7F04">
        <w:rPr>
          <w:rFonts w:cs="Arial"/>
          <w:szCs w:val="20"/>
        </w:rPr>
        <w:t xml:space="preserve"> demostra</w:t>
      </w:r>
      <w:r>
        <w:rPr>
          <w:rFonts w:cs="Arial"/>
          <w:szCs w:val="20"/>
        </w:rPr>
        <w:t>m</w:t>
      </w:r>
      <w:r w:rsidRPr="002C7F04">
        <w:rPr>
          <w:rFonts w:cs="Arial"/>
          <w:szCs w:val="20"/>
        </w:rPr>
        <w:t xml:space="preserve"> que o período de seca apresentou as maiores não conformidades.</w:t>
      </w:r>
    </w:p>
    <w:p w14:paraId="4D119F8C" w14:textId="64EA06EE" w:rsidR="00EC0C73" w:rsidRPr="002C7F04" w:rsidRDefault="00EC0C73" w:rsidP="00EC0C73">
      <w:pPr>
        <w:ind w:firstLine="708"/>
        <w:rPr>
          <w:rFonts w:cs="Arial"/>
          <w:szCs w:val="20"/>
        </w:rPr>
      </w:pPr>
      <w:r w:rsidRPr="002C7F04">
        <w:rPr>
          <w:rFonts w:cs="Arial"/>
          <w:szCs w:val="20"/>
        </w:rPr>
        <w:t xml:space="preserve">A </w:t>
      </w:r>
      <w:r w:rsidR="00C354D5">
        <w:rPr>
          <w:rFonts w:cs="Arial"/>
          <w:color w:val="FF0000"/>
          <w:szCs w:val="20"/>
        </w:rPr>
        <w:fldChar w:fldCharType="begin"/>
      </w:r>
      <w:r w:rsidR="00C354D5">
        <w:rPr>
          <w:rFonts w:cs="Arial"/>
          <w:szCs w:val="20"/>
        </w:rPr>
        <w:instrText xml:space="preserve"> REF _Ref42075144 \h </w:instrText>
      </w:r>
      <w:r w:rsidR="00C354D5">
        <w:rPr>
          <w:rFonts w:cs="Arial"/>
          <w:color w:val="FF0000"/>
          <w:szCs w:val="20"/>
        </w:rPr>
      </w:r>
      <w:r w:rsidR="00C354D5">
        <w:rPr>
          <w:rFonts w:cs="Arial"/>
          <w:color w:val="FF0000"/>
          <w:szCs w:val="20"/>
        </w:rPr>
        <w:fldChar w:fldCharType="separate"/>
      </w:r>
      <w:r w:rsidR="002C014F">
        <w:t xml:space="preserve">Figura </w:t>
      </w:r>
      <w:r w:rsidR="002C014F">
        <w:rPr>
          <w:noProof/>
        </w:rPr>
        <w:t>17</w:t>
      </w:r>
      <w:r w:rsidR="00C354D5">
        <w:rPr>
          <w:rFonts w:cs="Arial"/>
          <w:color w:val="FF0000"/>
          <w:szCs w:val="20"/>
        </w:rPr>
        <w:fldChar w:fldCharType="end"/>
      </w:r>
      <w:r w:rsidR="00C354D5">
        <w:rPr>
          <w:rFonts w:cs="Arial"/>
          <w:color w:val="FF0000"/>
          <w:szCs w:val="20"/>
        </w:rPr>
        <w:t xml:space="preserve"> </w:t>
      </w:r>
      <w:r w:rsidRPr="002C7F04">
        <w:rPr>
          <w:rFonts w:cs="Arial"/>
          <w:szCs w:val="20"/>
        </w:rPr>
        <w:t xml:space="preserve">mostra um gráfico de </w:t>
      </w:r>
      <w:proofErr w:type="spellStart"/>
      <w:r w:rsidRPr="002C7F04">
        <w:rPr>
          <w:rFonts w:cs="Arial"/>
          <w:szCs w:val="20"/>
        </w:rPr>
        <w:t>boxplot</w:t>
      </w:r>
      <w:proofErr w:type="spellEnd"/>
      <w:r w:rsidRPr="002C7F04">
        <w:rPr>
          <w:rFonts w:cs="Arial"/>
          <w:szCs w:val="20"/>
        </w:rPr>
        <w:t xml:space="preserve"> para o pireno, HPA que apresentou o maior percentual de não conformidades nos três períodos e nos quatro tipos de ambientes. Verifica-se que o Rio Guandu e Lagos foram os ambientes que mais contribuíram para o valor dessa não conformidade nos três períodos abordados, sendo o período de estiagem do ANO 1</w:t>
      </w:r>
      <w:r>
        <w:rPr>
          <w:rFonts w:cs="Arial"/>
          <w:szCs w:val="20"/>
        </w:rPr>
        <w:t>,</w:t>
      </w:r>
      <w:r w:rsidRPr="002C7F04">
        <w:rPr>
          <w:rFonts w:cs="Arial"/>
          <w:szCs w:val="20"/>
        </w:rPr>
        <w:t xml:space="preserve"> o de maior ocorrência. </w:t>
      </w:r>
    </w:p>
    <w:p w14:paraId="38228AD0" w14:textId="77777777" w:rsidR="00EC0C73" w:rsidRPr="002C7F04" w:rsidRDefault="00EC0C73" w:rsidP="00EC0C73">
      <w:pPr>
        <w:ind w:firstLine="708"/>
        <w:rPr>
          <w:rFonts w:cs="Arial"/>
          <w:szCs w:val="20"/>
        </w:rPr>
      </w:pPr>
      <w:r w:rsidRPr="002C7F04">
        <w:rPr>
          <w:rFonts w:cs="Arial"/>
          <w:szCs w:val="20"/>
        </w:rPr>
        <w:t xml:space="preserve">Mesmo tendo uma queda de não conformidade desses parâmetros no </w:t>
      </w:r>
      <w:r>
        <w:rPr>
          <w:rFonts w:cs="Arial"/>
          <w:szCs w:val="20"/>
        </w:rPr>
        <w:t>a</w:t>
      </w:r>
      <w:r w:rsidRPr="002C7F04">
        <w:rPr>
          <w:rFonts w:cs="Arial"/>
          <w:szCs w:val="20"/>
        </w:rPr>
        <w:t xml:space="preserve">no de transição, </w:t>
      </w:r>
      <w:r>
        <w:rPr>
          <w:rFonts w:cs="Arial"/>
          <w:szCs w:val="20"/>
        </w:rPr>
        <w:t>é</w:t>
      </w:r>
      <w:r w:rsidRPr="002C7F04">
        <w:rPr>
          <w:rFonts w:cs="Arial"/>
          <w:szCs w:val="20"/>
        </w:rPr>
        <w:t xml:space="preserve"> necessário monitorá-los, visto que os HPAs apresentam grande toxicidade e impacto sobre a saúde humana, apontados como carcinogênicos, mutagênicos e/ou teratogênicos na natureza, e listados pelo Programa Ambiental das Nações Unidas (UNEP) como poluentes orgânicos persistentes (</w:t>
      </w:r>
      <w:proofErr w:type="spellStart"/>
      <w:r w:rsidRPr="002C7F04">
        <w:rPr>
          <w:rFonts w:cs="Arial"/>
          <w:szCs w:val="20"/>
        </w:rPr>
        <w:t>POPs</w:t>
      </w:r>
      <w:proofErr w:type="spellEnd"/>
      <w:r w:rsidRPr="002C7F04">
        <w:rPr>
          <w:rFonts w:cs="Arial"/>
          <w:szCs w:val="20"/>
        </w:rPr>
        <w:t>)</w:t>
      </w:r>
      <w:r>
        <w:rPr>
          <w:rFonts w:cs="Arial"/>
          <w:szCs w:val="20"/>
        </w:rPr>
        <w:t xml:space="preserve">, conforme </w:t>
      </w:r>
      <w:r w:rsidRPr="002C7F04">
        <w:rPr>
          <w:rFonts w:cs="Arial"/>
          <w:szCs w:val="20"/>
        </w:rPr>
        <w:t xml:space="preserve">a Convenção de Estocolmo em 2001. Sua presença está associada diretamente com atividades antropogênicas como a sua emissão pela combustão incompleta de diesel, gasolina, carvão mineral e vegetal, termelétricas, indústrias de cimento. </w:t>
      </w:r>
    </w:p>
    <w:p w14:paraId="3D1CE0F9" w14:textId="3C867DCC" w:rsidR="008308DE" w:rsidRDefault="00EC0C73" w:rsidP="00CF3145">
      <w:pPr>
        <w:pStyle w:val="Legenda"/>
        <w:keepNext/>
      </w:pPr>
      <w:bookmarkStart w:id="75" w:name="_Ref42075144"/>
      <w:bookmarkStart w:id="76" w:name="_Toc23430106"/>
      <w:bookmarkStart w:id="77" w:name="_Toc46992151"/>
      <w:r>
        <w:lastRenderedPageBreak/>
        <w:t xml:space="preserve">Figura </w:t>
      </w:r>
      <w:fldSimple w:instr=" SEQ Figura \* ARABIC ">
        <w:r w:rsidR="002C014F">
          <w:rPr>
            <w:noProof/>
          </w:rPr>
          <w:t>17</w:t>
        </w:r>
      </w:fldSimple>
      <w:bookmarkEnd w:id="75"/>
      <w:r>
        <w:t xml:space="preserve"> - Concentrações e índice de não conformidades referentes ao </w:t>
      </w:r>
      <w:proofErr w:type="spellStart"/>
      <w:r>
        <w:t>poliaromático</w:t>
      </w:r>
      <w:proofErr w:type="spellEnd"/>
      <w:r>
        <w:t xml:space="preserve"> pireno em diferentes períodos e ao longo dos ambiente</w:t>
      </w:r>
      <w:bookmarkEnd w:id="76"/>
      <w:r>
        <w:t>s Rio Guandu, Rio Doce, Lagos e Lagoas.</w:t>
      </w:r>
      <w:bookmarkEnd w:id="77"/>
    </w:p>
    <w:p w14:paraId="093AAA3A" w14:textId="17EF91CB" w:rsidR="00EC0C73" w:rsidRDefault="00EC0C73" w:rsidP="00CF3145">
      <w:pPr>
        <w:pStyle w:val="Legenda"/>
        <w:keepNext/>
      </w:pPr>
      <w:r w:rsidRPr="00B93013">
        <w:rPr>
          <w:noProof/>
          <w:lang w:eastAsia="pt-BR"/>
        </w:rPr>
        <w:drawing>
          <wp:inline distT="0" distB="0" distL="0" distR="0" wp14:anchorId="07269E4B" wp14:editId="1124FD7B">
            <wp:extent cx="4614502" cy="6840000"/>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14502" cy="6840000"/>
                    </a:xfrm>
                    <a:prstGeom prst="rect">
                      <a:avLst/>
                    </a:prstGeom>
                    <a:noFill/>
                    <a:ln>
                      <a:noFill/>
                    </a:ln>
                  </pic:spPr>
                </pic:pic>
              </a:graphicData>
            </a:graphic>
          </wp:inline>
        </w:drawing>
      </w:r>
      <w:r>
        <w:br w:type="page"/>
      </w:r>
    </w:p>
    <w:p w14:paraId="2AA12739" w14:textId="53FF3A9A" w:rsidR="00EC0C73" w:rsidRPr="00EC0C73" w:rsidRDefault="00EC0C73" w:rsidP="00EC0C73">
      <w:pPr>
        <w:pStyle w:val="Ttulo3"/>
      </w:pPr>
      <w:bookmarkStart w:id="78" w:name="_Toc46992122"/>
      <w:r w:rsidRPr="00EC0C73">
        <w:lastRenderedPageBreak/>
        <w:t>Hidrocarbonetos Alifáticos (HA)</w:t>
      </w:r>
      <w:bookmarkEnd w:id="78"/>
    </w:p>
    <w:p w14:paraId="036A795F" w14:textId="77777777" w:rsidR="00EC0C73" w:rsidRPr="00BB334E" w:rsidRDefault="00EC0C73" w:rsidP="00EC0C73">
      <w:pPr>
        <w:ind w:firstLine="708"/>
        <w:rPr>
          <w:rFonts w:cs="Arial"/>
          <w:szCs w:val="20"/>
        </w:rPr>
      </w:pPr>
      <w:r w:rsidRPr="00BB334E">
        <w:rPr>
          <w:rFonts w:cs="Arial"/>
          <w:szCs w:val="20"/>
        </w:rPr>
        <w:t>Analis</w:t>
      </w:r>
      <w:r>
        <w:rPr>
          <w:rFonts w:cs="Arial"/>
          <w:szCs w:val="20"/>
        </w:rPr>
        <w:t>aram-se</w:t>
      </w:r>
      <w:r w:rsidRPr="00BB334E">
        <w:rPr>
          <w:rFonts w:cs="Arial"/>
          <w:szCs w:val="20"/>
        </w:rPr>
        <w:t xml:space="preserve"> as amostras de água até a 16</w:t>
      </w:r>
      <w:r w:rsidRPr="00503FC9">
        <w:rPr>
          <w:rFonts w:cs="Arial"/>
          <w:szCs w:val="20"/>
          <w:vertAlign w:val="superscript"/>
        </w:rPr>
        <w:t>a</w:t>
      </w:r>
      <w:r w:rsidRPr="00BB334E">
        <w:rPr>
          <w:rFonts w:cs="Arial"/>
          <w:szCs w:val="20"/>
        </w:rPr>
        <w:t xml:space="preserve"> campanha, totalizando 276 amostras, das quais 68 são do ano de transição, conforme a metodologia de determinação de Hidrocarbonetos Alifáticos proposta no Ano 1. Os 34 </w:t>
      </w:r>
      <w:r>
        <w:rPr>
          <w:rFonts w:cs="Arial"/>
          <w:szCs w:val="20"/>
        </w:rPr>
        <w:t>h</w:t>
      </w:r>
      <w:r w:rsidRPr="00BB334E">
        <w:rPr>
          <w:rFonts w:cs="Arial"/>
          <w:szCs w:val="20"/>
        </w:rPr>
        <w:t xml:space="preserve">idrocarbonetos </w:t>
      </w:r>
      <w:r>
        <w:rPr>
          <w:rFonts w:cs="Arial"/>
          <w:szCs w:val="20"/>
        </w:rPr>
        <w:t>a</w:t>
      </w:r>
      <w:r w:rsidRPr="00BB334E">
        <w:rPr>
          <w:rFonts w:cs="Arial"/>
          <w:szCs w:val="20"/>
        </w:rPr>
        <w:t>lifáticos</w:t>
      </w:r>
      <w:r>
        <w:rPr>
          <w:rFonts w:cs="Arial"/>
          <w:szCs w:val="20"/>
        </w:rPr>
        <w:t>,</w:t>
      </w:r>
      <w:r w:rsidRPr="00BB334E">
        <w:rPr>
          <w:rFonts w:cs="Arial"/>
          <w:szCs w:val="20"/>
        </w:rPr>
        <w:t xml:space="preserve"> avaliados no período de transição</w:t>
      </w:r>
      <w:r>
        <w:rPr>
          <w:rFonts w:cs="Arial"/>
          <w:szCs w:val="20"/>
        </w:rPr>
        <w:t>,</w:t>
      </w:r>
      <w:r w:rsidRPr="00BB334E">
        <w:rPr>
          <w:rFonts w:cs="Arial"/>
          <w:szCs w:val="20"/>
        </w:rPr>
        <w:t xml:space="preserve"> foram os mesmos do Ano 1: C9 a C40, </w:t>
      </w:r>
      <w:proofErr w:type="spellStart"/>
      <w:r w:rsidRPr="00BB334E">
        <w:rPr>
          <w:rFonts w:cs="Arial"/>
          <w:szCs w:val="20"/>
        </w:rPr>
        <w:t>pristano</w:t>
      </w:r>
      <w:proofErr w:type="spellEnd"/>
      <w:r w:rsidRPr="00BB334E">
        <w:rPr>
          <w:rFonts w:cs="Arial"/>
          <w:szCs w:val="20"/>
        </w:rPr>
        <w:t xml:space="preserve"> e </w:t>
      </w:r>
      <w:proofErr w:type="spellStart"/>
      <w:r w:rsidRPr="00BB334E">
        <w:rPr>
          <w:rFonts w:cs="Arial"/>
          <w:szCs w:val="20"/>
        </w:rPr>
        <w:t>pitano</w:t>
      </w:r>
      <w:proofErr w:type="spellEnd"/>
      <w:r w:rsidRPr="00BB334E">
        <w:rPr>
          <w:rFonts w:cs="Arial"/>
          <w:szCs w:val="20"/>
        </w:rPr>
        <w:t>.</w:t>
      </w:r>
    </w:p>
    <w:p w14:paraId="26BEE5D0" w14:textId="1B23903D" w:rsidR="00EC0C73" w:rsidRPr="00BB334E" w:rsidRDefault="00EC0C73" w:rsidP="00EC0C73">
      <w:pPr>
        <w:ind w:firstLine="708"/>
        <w:rPr>
          <w:rFonts w:cs="Arial"/>
          <w:szCs w:val="20"/>
        </w:rPr>
      </w:pPr>
      <w:r w:rsidRPr="00BB334E">
        <w:rPr>
          <w:rFonts w:cs="Arial"/>
          <w:szCs w:val="20"/>
        </w:rPr>
        <w:t>A</w:t>
      </w:r>
      <w:r w:rsidR="00C354D5">
        <w:rPr>
          <w:rFonts w:cs="Arial"/>
          <w:szCs w:val="20"/>
        </w:rPr>
        <w:t xml:space="preserve"> </w:t>
      </w:r>
      <w:r w:rsidR="00C354D5">
        <w:rPr>
          <w:rFonts w:cs="Arial"/>
          <w:szCs w:val="20"/>
        </w:rPr>
        <w:fldChar w:fldCharType="begin"/>
      </w:r>
      <w:r w:rsidR="00C354D5">
        <w:rPr>
          <w:rFonts w:cs="Arial"/>
          <w:szCs w:val="20"/>
        </w:rPr>
        <w:instrText xml:space="preserve"> REF _Ref42075172 \h </w:instrText>
      </w:r>
      <w:r w:rsidR="00C354D5">
        <w:rPr>
          <w:rFonts w:cs="Arial"/>
          <w:szCs w:val="20"/>
        </w:rPr>
      </w:r>
      <w:r w:rsidR="00C354D5">
        <w:rPr>
          <w:rFonts w:cs="Arial"/>
          <w:szCs w:val="20"/>
        </w:rPr>
        <w:fldChar w:fldCharType="separate"/>
      </w:r>
      <w:r w:rsidR="002C014F">
        <w:t xml:space="preserve">Figura </w:t>
      </w:r>
      <w:r w:rsidR="002C014F">
        <w:rPr>
          <w:noProof/>
        </w:rPr>
        <w:t>18</w:t>
      </w:r>
      <w:r w:rsidR="00C354D5">
        <w:rPr>
          <w:rFonts w:cs="Arial"/>
          <w:szCs w:val="20"/>
        </w:rPr>
        <w:fldChar w:fldCharType="end"/>
      </w:r>
      <w:r w:rsidRPr="00BB334E">
        <w:rPr>
          <w:rFonts w:cs="Arial"/>
          <w:color w:val="FF0000"/>
          <w:szCs w:val="20"/>
        </w:rPr>
        <w:t xml:space="preserve"> </w:t>
      </w:r>
      <w:r w:rsidRPr="00BB334E">
        <w:rPr>
          <w:rFonts w:cs="Arial"/>
          <w:szCs w:val="20"/>
        </w:rPr>
        <w:t>apresenta o gráfico de box-</w:t>
      </w:r>
      <w:proofErr w:type="spellStart"/>
      <w:r w:rsidRPr="00BB334E">
        <w:rPr>
          <w:rFonts w:cs="Arial"/>
          <w:szCs w:val="20"/>
        </w:rPr>
        <w:t>plot</w:t>
      </w:r>
      <w:proofErr w:type="spellEnd"/>
      <w:r w:rsidRPr="00BB334E">
        <w:rPr>
          <w:rFonts w:cs="Arial"/>
          <w:szCs w:val="20"/>
        </w:rPr>
        <w:t xml:space="preserve"> para os Hidrocarbonetos alifáticos totais (somatória dos 34 compostos analisados) em água nos diferentes ambientes ao longo dos três períodos</w:t>
      </w:r>
      <w:r>
        <w:rPr>
          <w:rFonts w:cs="Arial"/>
          <w:szCs w:val="20"/>
        </w:rPr>
        <w:t xml:space="preserve"> (seca e chuvoso do ano 1 e chuvoso da transição)</w:t>
      </w:r>
      <w:r w:rsidRPr="00BB334E">
        <w:rPr>
          <w:rFonts w:cs="Arial"/>
          <w:szCs w:val="20"/>
        </w:rPr>
        <w:t>. Para a avaliação temporal, percebe-se que em todos ambientes houve uma diminuição significativa das concentrações de Hidrocarbonetos alifáticos totais no período de transição (</w:t>
      </w:r>
      <w:proofErr w:type="spellStart"/>
      <w:r w:rsidRPr="00BB334E">
        <w:rPr>
          <w:rFonts w:cs="Arial"/>
          <w:szCs w:val="20"/>
        </w:rPr>
        <w:t>nov</w:t>
      </w:r>
      <w:proofErr w:type="spellEnd"/>
      <w:r w:rsidRPr="00BB334E">
        <w:rPr>
          <w:rFonts w:cs="Arial"/>
          <w:szCs w:val="20"/>
        </w:rPr>
        <w:t xml:space="preserve">/2019 a </w:t>
      </w:r>
      <w:proofErr w:type="spellStart"/>
      <w:r w:rsidRPr="00BB334E">
        <w:rPr>
          <w:rFonts w:cs="Arial"/>
          <w:szCs w:val="20"/>
        </w:rPr>
        <w:t>fev</w:t>
      </w:r>
      <w:proofErr w:type="spellEnd"/>
      <w:r w:rsidRPr="00BB334E">
        <w:rPr>
          <w:rFonts w:cs="Arial"/>
          <w:szCs w:val="20"/>
        </w:rPr>
        <w:t xml:space="preserve"> 2020) quando comparado com o Ano 1. Uma das hipóteses levantadas seria a mesma proposta para os </w:t>
      </w:r>
      <w:r>
        <w:rPr>
          <w:rFonts w:cs="Arial"/>
          <w:szCs w:val="20"/>
        </w:rPr>
        <w:t>HPAs</w:t>
      </w:r>
      <w:r w:rsidRPr="00BB334E">
        <w:rPr>
          <w:rFonts w:cs="Arial"/>
          <w:szCs w:val="20"/>
        </w:rPr>
        <w:t>, diluição desses compostos provocados pelas intensas chuvas desse período</w:t>
      </w:r>
      <w:r>
        <w:rPr>
          <w:rFonts w:cs="Arial"/>
          <w:szCs w:val="20"/>
        </w:rPr>
        <w:t>.</w:t>
      </w:r>
    </w:p>
    <w:p w14:paraId="04832E2A" w14:textId="29788FFE" w:rsidR="00EC0C73" w:rsidRDefault="00EC0C73" w:rsidP="00CF3145">
      <w:pPr>
        <w:pStyle w:val="Legenda"/>
        <w:keepNext/>
        <w:rPr>
          <w:noProof/>
          <w:lang w:eastAsia="pt-BR"/>
        </w:rPr>
      </w:pPr>
      <w:bookmarkStart w:id="79" w:name="_Ref42075172"/>
      <w:bookmarkStart w:id="80" w:name="_Toc46992152"/>
      <w:r>
        <w:t xml:space="preserve">Figura </w:t>
      </w:r>
      <w:fldSimple w:instr=" SEQ Figura \* ARABIC ">
        <w:r w:rsidR="002C014F">
          <w:rPr>
            <w:noProof/>
          </w:rPr>
          <w:t>18</w:t>
        </w:r>
      </w:fldSimple>
      <w:bookmarkEnd w:id="79"/>
      <w:r>
        <w:t xml:space="preserve"> - </w:t>
      </w:r>
      <w:r w:rsidRPr="000C2FC7">
        <w:t xml:space="preserve">Variabilidade das concentrações de diferentes hidrocarbonetos </w:t>
      </w:r>
      <w:r>
        <w:t xml:space="preserve">alifáticos nas 276 amostras de água analisadas das 12 estações de coleta, agrupadas por nos ambientes Rio Guandu, Rio Doce, Lagos e Lagoas ao longo os períodos out/18 a </w:t>
      </w:r>
      <w:r>
        <w:lastRenderedPageBreak/>
        <w:t xml:space="preserve">mar/2019 (período chuvoso- ANO 1), </w:t>
      </w:r>
      <w:proofErr w:type="spellStart"/>
      <w:r>
        <w:t>abr</w:t>
      </w:r>
      <w:proofErr w:type="spellEnd"/>
      <w:r>
        <w:t xml:space="preserve">/19 a set/2019 (período de estiagem- ANO 1) e </w:t>
      </w:r>
      <w:proofErr w:type="spellStart"/>
      <w:r>
        <w:t>nov</w:t>
      </w:r>
      <w:proofErr w:type="spellEnd"/>
      <w:r>
        <w:t xml:space="preserve">/19 a </w:t>
      </w:r>
      <w:proofErr w:type="spellStart"/>
      <w:r>
        <w:t>fev</w:t>
      </w:r>
      <w:proofErr w:type="spellEnd"/>
      <w:r>
        <w:t>/2020 (período chuvoso- ANO de transição).</w:t>
      </w:r>
      <w:bookmarkEnd w:id="80"/>
      <w:r w:rsidRPr="00525022">
        <w:rPr>
          <w:noProof/>
          <w:lang w:eastAsia="pt-BR"/>
        </w:rPr>
        <w:t xml:space="preserve"> </w:t>
      </w:r>
    </w:p>
    <w:p w14:paraId="378EAD51" w14:textId="77777777" w:rsidR="00EC0C73" w:rsidRPr="004355E4" w:rsidRDefault="00EC0C73" w:rsidP="00EC0C73">
      <w:pPr>
        <w:jc w:val="center"/>
        <w:rPr>
          <w:lang w:eastAsia="pt-BR"/>
        </w:rPr>
      </w:pPr>
      <w:r w:rsidRPr="003F5AAA">
        <w:rPr>
          <w:noProof/>
          <w:lang w:eastAsia="pt-BR"/>
        </w:rPr>
        <w:drawing>
          <wp:inline distT="0" distB="0" distL="0" distR="0" wp14:anchorId="01D733E2" wp14:editId="641718F9">
            <wp:extent cx="3861906" cy="6840000"/>
            <wp:effectExtent l="0" t="0" r="5715" b="0"/>
            <wp:docPr id="73" name="Imagem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61906" cy="6840000"/>
                    </a:xfrm>
                    <a:prstGeom prst="rect">
                      <a:avLst/>
                    </a:prstGeom>
                    <a:noFill/>
                    <a:ln>
                      <a:noFill/>
                    </a:ln>
                  </pic:spPr>
                </pic:pic>
              </a:graphicData>
            </a:graphic>
          </wp:inline>
        </w:drawing>
      </w:r>
    </w:p>
    <w:p w14:paraId="699A9F59" w14:textId="77777777" w:rsidR="00EC0C73" w:rsidRPr="00F30CD9" w:rsidRDefault="00EC0C73" w:rsidP="00EC0C73">
      <w:pPr>
        <w:ind w:firstLine="708"/>
        <w:rPr>
          <w:rFonts w:cs="Arial"/>
          <w:szCs w:val="20"/>
        </w:rPr>
      </w:pPr>
      <w:r w:rsidRPr="00F30CD9">
        <w:rPr>
          <w:rFonts w:cs="Arial"/>
          <w:szCs w:val="20"/>
        </w:rPr>
        <w:t>Os</w:t>
      </w:r>
      <w:r>
        <w:rPr>
          <w:rFonts w:cs="Arial"/>
          <w:szCs w:val="20"/>
        </w:rPr>
        <w:t xml:space="preserve"> hidrocarbonetos alifáticos saturados são quimicamente estáveis</w:t>
      </w:r>
      <w:r w:rsidRPr="00F30CD9">
        <w:rPr>
          <w:rFonts w:cs="Arial"/>
          <w:szCs w:val="20"/>
        </w:rPr>
        <w:t xml:space="preserve"> no meio ambiente, principalmente os alifáticos de </w:t>
      </w:r>
      <w:r>
        <w:rPr>
          <w:rFonts w:cs="Arial"/>
          <w:szCs w:val="20"/>
        </w:rPr>
        <w:t>cadeias longas. Devido a essa</w:t>
      </w:r>
      <w:r w:rsidRPr="00F30CD9">
        <w:rPr>
          <w:rFonts w:cs="Arial"/>
          <w:szCs w:val="20"/>
        </w:rPr>
        <w:t xml:space="preserve"> propriedade, é possível utilizar esses compostos como indicadores dos níveis e origens do material orgânico no ambiente.</w:t>
      </w:r>
      <w:r>
        <w:rPr>
          <w:rFonts w:cs="Arial"/>
          <w:szCs w:val="20"/>
        </w:rPr>
        <w:t xml:space="preserve"> </w:t>
      </w:r>
      <w:r w:rsidRPr="00F30CD9">
        <w:rPr>
          <w:rFonts w:cs="Arial"/>
          <w:szCs w:val="20"/>
        </w:rPr>
        <w:t>As principais fontes biológicas desses compostos são plantas,</w:t>
      </w:r>
      <w:r>
        <w:rPr>
          <w:rFonts w:cs="Arial"/>
          <w:szCs w:val="20"/>
        </w:rPr>
        <w:t xml:space="preserve"> fungos,</w:t>
      </w:r>
      <w:r w:rsidRPr="00F30CD9">
        <w:rPr>
          <w:rFonts w:cs="Arial"/>
          <w:szCs w:val="20"/>
        </w:rPr>
        <w:t xml:space="preserve"> bactérias,</w:t>
      </w:r>
      <w:r>
        <w:rPr>
          <w:rFonts w:cs="Arial"/>
          <w:szCs w:val="20"/>
        </w:rPr>
        <w:t xml:space="preserve"> esporos, </w:t>
      </w:r>
      <w:proofErr w:type="spellStart"/>
      <w:r>
        <w:rPr>
          <w:rFonts w:cs="Arial"/>
          <w:szCs w:val="20"/>
        </w:rPr>
        <w:t>polén</w:t>
      </w:r>
      <w:proofErr w:type="spellEnd"/>
      <w:r>
        <w:rPr>
          <w:rFonts w:cs="Arial"/>
          <w:szCs w:val="20"/>
        </w:rPr>
        <w:t>,</w:t>
      </w:r>
      <w:r w:rsidRPr="00F30CD9">
        <w:rPr>
          <w:rFonts w:cs="Arial"/>
          <w:szCs w:val="20"/>
        </w:rPr>
        <w:t xml:space="preserve"> microalgas, macroalgas,</w:t>
      </w:r>
      <w:r>
        <w:rPr>
          <w:rFonts w:cs="Arial"/>
          <w:szCs w:val="20"/>
        </w:rPr>
        <w:t xml:space="preserve"> </w:t>
      </w:r>
      <w:proofErr w:type="spellStart"/>
      <w:r w:rsidRPr="00F30CD9">
        <w:rPr>
          <w:rFonts w:cs="Arial"/>
          <w:szCs w:val="20"/>
        </w:rPr>
        <w:t>fitoplânton</w:t>
      </w:r>
      <w:proofErr w:type="spellEnd"/>
      <w:r w:rsidRPr="00F30CD9">
        <w:rPr>
          <w:rFonts w:cs="Arial"/>
          <w:szCs w:val="20"/>
        </w:rPr>
        <w:t xml:space="preserve"> marinho, mas sua distribuição varia muito de uma área para outra.</w:t>
      </w:r>
      <w:r>
        <w:rPr>
          <w:rFonts w:cs="Arial"/>
          <w:szCs w:val="20"/>
        </w:rPr>
        <w:t xml:space="preserve">  Já </w:t>
      </w:r>
      <w:r w:rsidRPr="00F30CD9">
        <w:rPr>
          <w:rFonts w:cs="Arial"/>
          <w:szCs w:val="20"/>
        </w:rPr>
        <w:t xml:space="preserve">os </w:t>
      </w:r>
      <w:r w:rsidRPr="00F30CD9">
        <w:rPr>
          <w:rFonts w:cs="Arial"/>
          <w:szCs w:val="20"/>
        </w:rPr>
        <w:lastRenderedPageBreak/>
        <w:t>princi</w:t>
      </w:r>
      <w:r>
        <w:rPr>
          <w:rFonts w:cs="Arial"/>
          <w:szCs w:val="20"/>
        </w:rPr>
        <w:t>pais contribuintes</w:t>
      </w:r>
      <w:r w:rsidRPr="00F30CD9">
        <w:rPr>
          <w:rFonts w:cs="Arial"/>
          <w:szCs w:val="20"/>
        </w:rPr>
        <w:t xml:space="preserve"> antropogênicos</w:t>
      </w:r>
      <w:r>
        <w:rPr>
          <w:rFonts w:cs="Arial"/>
          <w:szCs w:val="20"/>
        </w:rPr>
        <w:t xml:space="preserve"> são: a </w:t>
      </w:r>
      <w:r w:rsidRPr="00F30CD9">
        <w:rPr>
          <w:rFonts w:cs="Arial"/>
          <w:szCs w:val="20"/>
        </w:rPr>
        <w:t xml:space="preserve">queima de </w:t>
      </w:r>
      <w:r>
        <w:rPr>
          <w:rFonts w:cs="Arial"/>
          <w:szCs w:val="20"/>
        </w:rPr>
        <w:t>florestas e plantações; despejo de esgotos</w:t>
      </w:r>
      <w:r w:rsidRPr="00F30CD9">
        <w:rPr>
          <w:rFonts w:cs="Arial"/>
          <w:szCs w:val="20"/>
        </w:rPr>
        <w:t xml:space="preserve"> domésticos e industriais</w:t>
      </w:r>
      <w:r>
        <w:rPr>
          <w:rFonts w:cs="Arial"/>
          <w:szCs w:val="20"/>
        </w:rPr>
        <w:t>;</w:t>
      </w:r>
      <w:r w:rsidRPr="00F30CD9">
        <w:rPr>
          <w:rFonts w:cs="Arial"/>
          <w:szCs w:val="20"/>
        </w:rPr>
        <w:t xml:space="preserve"> drenagens pluviais urbanas</w:t>
      </w:r>
      <w:r>
        <w:rPr>
          <w:rFonts w:cs="Arial"/>
          <w:szCs w:val="20"/>
        </w:rPr>
        <w:t>;</w:t>
      </w:r>
      <w:r w:rsidRPr="00F30CD9">
        <w:rPr>
          <w:rFonts w:cs="Arial"/>
          <w:szCs w:val="20"/>
        </w:rPr>
        <w:t xml:space="preserve"> efluentes da indústria petrolífera</w:t>
      </w:r>
      <w:r>
        <w:rPr>
          <w:rFonts w:cs="Arial"/>
          <w:szCs w:val="20"/>
        </w:rPr>
        <w:t>;</w:t>
      </w:r>
      <w:r w:rsidRPr="00F30CD9">
        <w:rPr>
          <w:rFonts w:cs="Arial"/>
          <w:szCs w:val="20"/>
        </w:rPr>
        <w:t xml:space="preserve"> assim como os derrames </w:t>
      </w:r>
      <w:r>
        <w:rPr>
          <w:rFonts w:cs="Arial"/>
          <w:szCs w:val="20"/>
        </w:rPr>
        <w:t>acidentais de óleo e derivados.</w:t>
      </w:r>
    </w:p>
    <w:p w14:paraId="6BDFF664" w14:textId="77777777" w:rsidR="00EC0C73" w:rsidRPr="00F23944" w:rsidRDefault="00EC0C73" w:rsidP="00EC0C73">
      <w:pPr>
        <w:ind w:firstLine="708"/>
        <w:rPr>
          <w:rFonts w:cs="Arial"/>
          <w:szCs w:val="20"/>
        </w:rPr>
      </w:pPr>
      <w:r w:rsidRPr="00F30CD9">
        <w:rPr>
          <w:rFonts w:cs="Arial"/>
          <w:szCs w:val="20"/>
        </w:rPr>
        <w:t xml:space="preserve">Em amostras derivadas de ambientes aquáticos, esses apresentam uma característica importante devido </w:t>
      </w:r>
      <w:r>
        <w:rPr>
          <w:rFonts w:cs="Arial"/>
          <w:szCs w:val="20"/>
        </w:rPr>
        <w:t>a</w:t>
      </w:r>
      <w:r w:rsidRPr="00F30CD9">
        <w:rPr>
          <w:rFonts w:cs="Arial"/>
          <w:szCs w:val="20"/>
        </w:rPr>
        <w:t xml:space="preserve"> sua síntese por organismos terrestres e marinhos, </w:t>
      </w:r>
      <w:r>
        <w:rPr>
          <w:rFonts w:cs="Arial"/>
          <w:szCs w:val="20"/>
        </w:rPr>
        <w:t xml:space="preserve">com a </w:t>
      </w:r>
      <w:r w:rsidRPr="00F30CD9">
        <w:rPr>
          <w:rFonts w:cs="Arial"/>
          <w:szCs w:val="20"/>
        </w:rPr>
        <w:t>predominância de n-alcanos com cadeias ímpares. De tal modo, n-alcanos podem ser utilizados como biomarcadores geoquímicos para indicar contaminação antrópica em ambientes contaminados por petróleo. Se em ambientes sem contaminação por petróleo os n-alcanos ímpares predomina</w:t>
      </w:r>
      <w:r>
        <w:rPr>
          <w:rFonts w:cs="Arial"/>
          <w:szCs w:val="20"/>
        </w:rPr>
        <w:t>rem</w:t>
      </w:r>
      <w:r w:rsidRPr="00F30CD9">
        <w:rPr>
          <w:rFonts w:cs="Arial"/>
          <w:szCs w:val="20"/>
        </w:rPr>
        <w:t>, é de se esperar que com a contaminação</w:t>
      </w:r>
      <w:r>
        <w:rPr>
          <w:rFonts w:cs="Arial"/>
          <w:szCs w:val="20"/>
        </w:rPr>
        <w:t xml:space="preserve"> de petróleo</w:t>
      </w:r>
      <w:r w:rsidRPr="00F30CD9">
        <w:rPr>
          <w:rFonts w:cs="Arial"/>
          <w:szCs w:val="20"/>
        </w:rPr>
        <w:t xml:space="preserve"> o perfil seja diferente.</w:t>
      </w:r>
      <w:r>
        <w:rPr>
          <w:rFonts w:cs="Arial"/>
          <w:szCs w:val="20"/>
        </w:rPr>
        <w:t xml:space="preserve"> Desse modo, p</w:t>
      </w:r>
      <w:r w:rsidRPr="00F30CD9">
        <w:rPr>
          <w:rFonts w:cs="Arial"/>
          <w:szCs w:val="20"/>
        </w:rPr>
        <w:t>ara ambientes contaminado</w:t>
      </w:r>
      <w:r>
        <w:rPr>
          <w:rFonts w:cs="Arial"/>
          <w:szCs w:val="20"/>
        </w:rPr>
        <w:t xml:space="preserve">s essa predominância desaparece, ou seja, a distribuição de hidrocarbonetos par e impar torna-se homogênea. </w:t>
      </w:r>
      <w:r w:rsidRPr="00F23944">
        <w:rPr>
          <w:rFonts w:cs="Arial"/>
          <w:szCs w:val="20"/>
        </w:rPr>
        <w:t>No fitoplâncton marinho e algas bentônicas</w:t>
      </w:r>
      <w:r>
        <w:rPr>
          <w:rFonts w:cs="Arial"/>
          <w:szCs w:val="20"/>
        </w:rPr>
        <w:t xml:space="preserve"> </w:t>
      </w:r>
      <w:r w:rsidRPr="00F23944">
        <w:rPr>
          <w:rFonts w:cs="Arial"/>
          <w:szCs w:val="20"/>
        </w:rPr>
        <w:t xml:space="preserve">os </w:t>
      </w:r>
      <w:r w:rsidRPr="00F23944">
        <w:rPr>
          <w:rFonts w:cs="Arial"/>
          <w:i/>
          <w:iCs/>
          <w:szCs w:val="20"/>
        </w:rPr>
        <w:t>n-</w:t>
      </w:r>
      <w:r w:rsidRPr="00F23944">
        <w:rPr>
          <w:rFonts w:cs="Arial"/>
          <w:szCs w:val="20"/>
        </w:rPr>
        <w:t xml:space="preserve">alcanos mais abundantes são os ímpares, entre o </w:t>
      </w:r>
      <w:r w:rsidRPr="00F23944">
        <w:rPr>
          <w:rFonts w:cs="Arial"/>
          <w:i/>
          <w:iCs/>
          <w:szCs w:val="20"/>
        </w:rPr>
        <w:t>n-</w:t>
      </w:r>
      <w:r w:rsidRPr="00F23944">
        <w:rPr>
          <w:rFonts w:cs="Arial"/>
          <w:szCs w:val="20"/>
        </w:rPr>
        <w:t xml:space="preserve">C15 e </w:t>
      </w:r>
      <w:r w:rsidRPr="00F23944">
        <w:rPr>
          <w:rFonts w:cs="Arial"/>
          <w:i/>
          <w:iCs/>
          <w:szCs w:val="20"/>
        </w:rPr>
        <w:t>n-</w:t>
      </w:r>
      <w:r w:rsidRPr="00F23944">
        <w:rPr>
          <w:rFonts w:cs="Arial"/>
          <w:szCs w:val="20"/>
        </w:rPr>
        <w:t xml:space="preserve">C21, predominando o </w:t>
      </w:r>
      <w:r w:rsidRPr="00F23944">
        <w:rPr>
          <w:rFonts w:cs="Arial"/>
          <w:i/>
          <w:iCs/>
          <w:szCs w:val="20"/>
        </w:rPr>
        <w:t>n-</w:t>
      </w:r>
      <w:r w:rsidRPr="00F23944">
        <w:rPr>
          <w:rFonts w:cs="Arial"/>
          <w:szCs w:val="20"/>
        </w:rPr>
        <w:t xml:space="preserve">C15 e o </w:t>
      </w:r>
      <w:r w:rsidRPr="00F23944">
        <w:rPr>
          <w:rFonts w:cs="Arial"/>
          <w:i/>
          <w:iCs/>
          <w:szCs w:val="20"/>
        </w:rPr>
        <w:t>n-</w:t>
      </w:r>
      <w:r w:rsidRPr="00F23944">
        <w:rPr>
          <w:rFonts w:cs="Arial"/>
          <w:szCs w:val="20"/>
        </w:rPr>
        <w:t>C17.</w:t>
      </w:r>
    </w:p>
    <w:p w14:paraId="09FC4B19" w14:textId="4CD4230B" w:rsidR="00EC0C73" w:rsidRDefault="00EC0C73" w:rsidP="00EC0C73">
      <w:pPr>
        <w:ind w:firstLine="708"/>
        <w:rPr>
          <w:sz w:val="14"/>
          <w:szCs w:val="14"/>
        </w:rPr>
      </w:pPr>
      <w:r w:rsidRPr="00C354D5">
        <w:rPr>
          <w:rFonts w:cs="Arial"/>
          <w:szCs w:val="20"/>
        </w:rPr>
        <w:t xml:space="preserve">Percebe-se que, avaliando espacialmente os dados apresentados na </w:t>
      </w:r>
      <w:r w:rsidR="00C354D5" w:rsidRPr="00C354D5">
        <w:rPr>
          <w:rFonts w:cs="Arial"/>
          <w:szCs w:val="20"/>
          <w:highlight w:val="yellow"/>
        </w:rPr>
        <w:fldChar w:fldCharType="begin"/>
      </w:r>
      <w:r w:rsidR="00C354D5" w:rsidRPr="00C354D5">
        <w:rPr>
          <w:rFonts w:cs="Arial"/>
          <w:szCs w:val="20"/>
        </w:rPr>
        <w:instrText xml:space="preserve"> REF _Ref42075235 \h </w:instrText>
      </w:r>
      <w:r w:rsidR="00C354D5" w:rsidRPr="00C354D5">
        <w:rPr>
          <w:rFonts w:cs="Arial"/>
          <w:szCs w:val="20"/>
          <w:highlight w:val="yellow"/>
        </w:rPr>
      </w:r>
      <w:r w:rsidR="00C354D5" w:rsidRPr="00C354D5">
        <w:rPr>
          <w:rFonts w:cs="Arial"/>
          <w:szCs w:val="20"/>
          <w:highlight w:val="yellow"/>
        </w:rPr>
        <w:fldChar w:fldCharType="separate"/>
      </w:r>
      <w:r w:rsidR="002C014F">
        <w:t xml:space="preserve">Figura </w:t>
      </w:r>
      <w:r w:rsidR="002C014F">
        <w:rPr>
          <w:noProof/>
        </w:rPr>
        <w:t>19</w:t>
      </w:r>
      <w:r w:rsidR="00C354D5" w:rsidRPr="00C354D5">
        <w:rPr>
          <w:rFonts w:cs="Arial"/>
          <w:szCs w:val="20"/>
          <w:highlight w:val="yellow"/>
        </w:rPr>
        <w:fldChar w:fldCharType="end"/>
      </w:r>
      <w:r w:rsidR="00C354D5" w:rsidRPr="00C354D5">
        <w:rPr>
          <w:rFonts w:cs="Arial"/>
          <w:szCs w:val="20"/>
        </w:rPr>
        <w:t xml:space="preserve"> </w:t>
      </w:r>
      <w:r w:rsidRPr="00C354D5">
        <w:rPr>
          <w:rFonts w:cs="Arial"/>
          <w:szCs w:val="20"/>
        </w:rPr>
        <w:t xml:space="preserve">(C9 a C23) e </w:t>
      </w:r>
      <w:r w:rsidR="00C354D5" w:rsidRPr="00C354D5">
        <w:rPr>
          <w:rFonts w:cs="Arial"/>
          <w:szCs w:val="20"/>
        </w:rPr>
        <w:fldChar w:fldCharType="begin"/>
      </w:r>
      <w:r w:rsidR="00C354D5" w:rsidRPr="00C354D5">
        <w:rPr>
          <w:rFonts w:cs="Arial"/>
          <w:szCs w:val="20"/>
        </w:rPr>
        <w:instrText xml:space="preserve"> REF _Ref42075251 \h </w:instrText>
      </w:r>
      <w:r w:rsidR="00C354D5" w:rsidRPr="00C354D5">
        <w:rPr>
          <w:rFonts w:cs="Arial"/>
          <w:szCs w:val="20"/>
        </w:rPr>
      </w:r>
      <w:r w:rsidR="00C354D5" w:rsidRPr="00C354D5">
        <w:rPr>
          <w:rFonts w:cs="Arial"/>
          <w:szCs w:val="20"/>
        </w:rPr>
        <w:fldChar w:fldCharType="separate"/>
      </w:r>
      <w:r w:rsidR="002C014F">
        <w:t xml:space="preserve">Figura </w:t>
      </w:r>
      <w:r w:rsidR="002C014F">
        <w:rPr>
          <w:noProof/>
        </w:rPr>
        <w:t>20</w:t>
      </w:r>
      <w:r w:rsidR="00C354D5" w:rsidRPr="00C354D5">
        <w:rPr>
          <w:rFonts w:cs="Arial"/>
          <w:szCs w:val="20"/>
        </w:rPr>
        <w:fldChar w:fldCharType="end"/>
      </w:r>
      <w:r w:rsidR="00C354D5" w:rsidRPr="00C354D5">
        <w:rPr>
          <w:rFonts w:cs="Arial"/>
          <w:szCs w:val="20"/>
        </w:rPr>
        <w:t xml:space="preserve"> </w:t>
      </w:r>
      <w:r w:rsidRPr="00C354D5">
        <w:rPr>
          <w:rFonts w:cs="Arial"/>
          <w:szCs w:val="20"/>
        </w:rPr>
        <w:t xml:space="preserve">(C24 a 40), </w:t>
      </w:r>
      <w:r w:rsidRPr="00B87A60">
        <w:rPr>
          <w:rFonts w:cs="Arial"/>
          <w:szCs w:val="20"/>
        </w:rPr>
        <w:t>a</w:t>
      </w:r>
      <w:r>
        <w:rPr>
          <w:rFonts w:cs="Arial"/>
          <w:szCs w:val="20"/>
        </w:rPr>
        <w:t>s</w:t>
      </w:r>
      <w:r w:rsidRPr="00B87A60">
        <w:rPr>
          <w:rFonts w:cs="Arial"/>
          <w:szCs w:val="20"/>
        </w:rPr>
        <w:t xml:space="preserve"> distribuiç</w:t>
      </w:r>
      <w:r>
        <w:rPr>
          <w:rFonts w:cs="Arial"/>
          <w:szCs w:val="20"/>
        </w:rPr>
        <w:t>ões</w:t>
      </w:r>
      <w:r w:rsidRPr="00B87A60">
        <w:rPr>
          <w:rFonts w:cs="Arial"/>
          <w:szCs w:val="20"/>
        </w:rPr>
        <w:t xml:space="preserve"> dos hidrocarbonetos alifáticos no Rio Guandu e Rio Doce </w:t>
      </w:r>
      <w:r>
        <w:rPr>
          <w:rFonts w:cs="Arial"/>
          <w:szCs w:val="20"/>
        </w:rPr>
        <w:t xml:space="preserve">apresentaram </w:t>
      </w:r>
      <w:r w:rsidRPr="00B87A60">
        <w:rPr>
          <w:rFonts w:cs="Arial"/>
          <w:szCs w:val="20"/>
        </w:rPr>
        <w:t>uma predominância do</w:t>
      </w:r>
      <w:r>
        <w:rPr>
          <w:rFonts w:cs="Arial"/>
          <w:szCs w:val="20"/>
        </w:rPr>
        <w:t>s compostos</w:t>
      </w:r>
      <w:r w:rsidRPr="00B87A60">
        <w:rPr>
          <w:rFonts w:cs="Arial"/>
          <w:szCs w:val="20"/>
        </w:rPr>
        <w:t xml:space="preserve"> </w:t>
      </w:r>
      <w:r w:rsidRPr="0052162C">
        <w:rPr>
          <w:rFonts w:cs="Arial"/>
          <w:szCs w:val="20"/>
        </w:rPr>
        <w:t>alifáticos C15 a C</w:t>
      </w:r>
      <w:r w:rsidR="00C354D5" w:rsidRPr="0052162C">
        <w:rPr>
          <w:rFonts w:cs="Arial"/>
          <w:szCs w:val="20"/>
        </w:rPr>
        <w:t>3</w:t>
      </w:r>
      <w:r w:rsidRPr="0052162C">
        <w:rPr>
          <w:rFonts w:cs="Arial"/>
          <w:szCs w:val="20"/>
        </w:rPr>
        <w:t>3 (</w:t>
      </w:r>
      <w:r w:rsidR="00C354D5" w:rsidRPr="0052162C">
        <w:rPr>
          <w:rFonts w:cs="Arial"/>
          <w:szCs w:val="20"/>
        </w:rPr>
        <w:fldChar w:fldCharType="begin"/>
      </w:r>
      <w:r w:rsidR="00C354D5" w:rsidRPr="0052162C">
        <w:rPr>
          <w:rFonts w:cs="Arial"/>
          <w:szCs w:val="20"/>
        </w:rPr>
        <w:instrText xml:space="preserve"> REF _Ref42075235 \h </w:instrText>
      </w:r>
      <w:r w:rsidR="0052162C">
        <w:rPr>
          <w:rFonts w:cs="Arial"/>
          <w:szCs w:val="20"/>
        </w:rPr>
        <w:instrText xml:space="preserve"> \* MERGEFORMAT </w:instrText>
      </w:r>
      <w:r w:rsidR="00C354D5" w:rsidRPr="0052162C">
        <w:rPr>
          <w:rFonts w:cs="Arial"/>
          <w:szCs w:val="20"/>
        </w:rPr>
      </w:r>
      <w:r w:rsidR="00C354D5" w:rsidRPr="0052162C">
        <w:rPr>
          <w:rFonts w:cs="Arial"/>
          <w:szCs w:val="20"/>
        </w:rPr>
        <w:fldChar w:fldCharType="separate"/>
      </w:r>
      <w:r w:rsidR="002C014F">
        <w:t xml:space="preserve">Figura </w:t>
      </w:r>
      <w:r w:rsidR="002C014F">
        <w:rPr>
          <w:noProof/>
        </w:rPr>
        <w:t>19</w:t>
      </w:r>
      <w:r w:rsidR="00C354D5" w:rsidRPr="0052162C">
        <w:rPr>
          <w:rFonts w:cs="Arial"/>
          <w:szCs w:val="20"/>
        </w:rPr>
        <w:fldChar w:fldCharType="end"/>
      </w:r>
      <w:r w:rsidR="00C354D5" w:rsidRPr="0052162C">
        <w:rPr>
          <w:rFonts w:cs="Arial"/>
          <w:szCs w:val="20"/>
        </w:rPr>
        <w:t xml:space="preserve"> e </w:t>
      </w:r>
      <w:r w:rsidR="00C354D5" w:rsidRPr="0052162C">
        <w:rPr>
          <w:rFonts w:cs="Arial"/>
          <w:szCs w:val="20"/>
        </w:rPr>
        <w:fldChar w:fldCharType="begin"/>
      </w:r>
      <w:r w:rsidR="00C354D5" w:rsidRPr="0052162C">
        <w:rPr>
          <w:rFonts w:cs="Arial"/>
          <w:szCs w:val="20"/>
        </w:rPr>
        <w:instrText xml:space="preserve"> REF _Ref42075251 \h </w:instrText>
      </w:r>
      <w:r w:rsidR="0052162C">
        <w:rPr>
          <w:rFonts w:cs="Arial"/>
          <w:szCs w:val="20"/>
        </w:rPr>
        <w:instrText xml:space="preserve"> \* MERGEFORMAT </w:instrText>
      </w:r>
      <w:r w:rsidR="00C354D5" w:rsidRPr="0052162C">
        <w:rPr>
          <w:rFonts w:cs="Arial"/>
          <w:szCs w:val="20"/>
        </w:rPr>
      </w:r>
      <w:r w:rsidR="00C354D5" w:rsidRPr="0052162C">
        <w:rPr>
          <w:rFonts w:cs="Arial"/>
          <w:szCs w:val="20"/>
        </w:rPr>
        <w:fldChar w:fldCharType="separate"/>
      </w:r>
      <w:r w:rsidR="002C014F">
        <w:t xml:space="preserve">Figura </w:t>
      </w:r>
      <w:r w:rsidR="002C014F">
        <w:rPr>
          <w:noProof/>
        </w:rPr>
        <w:t>20</w:t>
      </w:r>
      <w:r w:rsidR="00C354D5" w:rsidRPr="0052162C">
        <w:rPr>
          <w:rFonts w:cs="Arial"/>
          <w:szCs w:val="20"/>
        </w:rPr>
        <w:fldChar w:fldCharType="end"/>
      </w:r>
      <w:r w:rsidRPr="0052162C">
        <w:rPr>
          <w:rFonts w:cs="Arial"/>
          <w:szCs w:val="20"/>
        </w:rPr>
        <w:t xml:space="preserve">), comportamento homogêneo indicativo de poluição antropogênica, podendo ser principalmente </w:t>
      </w:r>
      <w:proofErr w:type="spellStart"/>
      <w:r w:rsidRPr="0052162C">
        <w:rPr>
          <w:rFonts w:cs="Arial"/>
          <w:szCs w:val="20"/>
        </w:rPr>
        <w:t>petrogênica</w:t>
      </w:r>
      <w:proofErr w:type="spellEnd"/>
      <w:r w:rsidRPr="0052162C">
        <w:rPr>
          <w:rFonts w:cs="Arial"/>
          <w:szCs w:val="20"/>
        </w:rPr>
        <w:t>. Já para os ambientes lagos e lagoas, houve uma prevalência dos alifáticos C1</w:t>
      </w:r>
      <w:r w:rsidR="0052162C" w:rsidRPr="0052162C">
        <w:rPr>
          <w:rFonts w:cs="Arial"/>
          <w:szCs w:val="20"/>
        </w:rPr>
        <w:t>3</w:t>
      </w:r>
      <w:r w:rsidRPr="0052162C">
        <w:rPr>
          <w:rFonts w:cs="Arial"/>
          <w:szCs w:val="20"/>
        </w:rPr>
        <w:t xml:space="preserve"> a C</w:t>
      </w:r>
      <w:r w:rsidR="0052162C" w:rsidRPr="0052162C">
        <w:rPr>
          <w:rFonts w:cs="Arial"/>
          <w:szCs w:val="20"/>
        </w:rPr>
        <w:t>40</w:t>
      </w:r>
      <w:r w:rsidRPr="0052162C">
        <w:rPr>
          <w:rFonts w:cs="Arial"/>
          <w:szCs w:val="20"/>
        </w:rPr>
        <w:t xml:space="preserve"> (</w:t>
      </w:r>
      <w:r w:rsidR="00C354D5" w:rsidRPr="0052162C">
        <w:rPr>
          <w:rFonts w:cs="Arial"/>
          <w:szCs w:val="20"/>
        </w:rPr>
        <w:fldChar w:fldCharType="begin"/>
      </w:r>
      <w:r w:rsidR="00C354D5" w:rsidRPr="0052162C">
        <w:rPr>
          <w:rFonts w:cs="Arial"/>
          <w:szCs w:val="20"/>
        </w:rPr>
        <w:instrText xml:space="preserve"> REF _Ref42075235 \h </w:instrText>
      </w:r>
      <w:r w:rsidR="0052162C">
        <w:rPr>
          <w:rFonts w:cs="Arial"/>
          <w:szCs w:val="20"/>
        </w:rPr>
        <w:instrText xml:space="preserve"> \* MERGEFORMAT </w:instrText>
      </w:r>
      <w:r w:rsidR="00C354D5" w:rsidRPr="0052162C">
        <w:rPr>
          <w:rFonts w:cs="Arial"/>
          <w:szCs w:val="20"/>
        </w:rPr>
      </w:r>
      <w:r w:rsidR="00C354D5" w:rsidRPr="0052162C">
        <w:rPr>
          <w:rFonts w:cs="Arial"/>
          <w:szCs w:val="20"/>
        </w:rPr>
        <w:fldChar w:fldCharType="separate"/>
      </w:r>
      <w:r w:rsidR="002C014F">
        <w:t xml:space="preserve">Figura </w:t>
      </w:r>
      <w:r w:rsidR="002C014F">
        <w:rPr>
          <w:noProof/>
        </w:rPr>
        <w:t>19</w:t>
      </w:r>
      <w:r w:rsidR="00C354D5" w:rsidRPr="0052162C">
        <w:rPr>
          <w:rFonts w:cs="Arial"/>
          <w:szCs w:val="20"/>
        </w:rPr>
        <w:fldChar w:fldCharType="end"/>
      </w:r>
      <w:r w:rsidR="00C354D5" w:rsidRPr="0052162C">
        <w:rPr>
          <w:rFonts w:cs="Arial"/>
          <w:szCs w:val="20"/>
        </w:rPr>
        <w:t xml:space="preserve"> e </w:t>
      </w:r>
      <w:r w:rsidR="00C354D5" w:rsidRPr="0052162C">
        <w:rPr>
          <w:rFonts w:cs="Arial"/>
          <w:szCs w:val="20"/>
        </w:rPr>
        <w:fldChar w:fldCharType="begin"/>
      </w:r>
      <w:r w:rsidR="00C354D5" w:rsidRPr="0052162C">
        <w:rPr>
          <w:rFonts w:cs="Arial"/>
          <w:szCs w:val="20"/>
        </w:rPr>
        <w:instrText xml:space="preserve"> REF _Ref42075251 \h </w:instrText>
      </w:r>
      <w:r w:rsidR="0052162C">
        <w:rPr>
          <w:rFonts w:cs="Arial"/>
          <w:szCs w:val="20"/>
        </w:rPr>
        <w:instrText xml:space="preserve"> \* MERGEFORMAT </w:instrText>
      </w:r>
      <w:r w:rsidR="00C354D5" w:rsidRPr="0052162C">
        <w:rPr>
          <w:rFonts w:cs="Arial"/>
          <w:szCs w:val="20"/>
        </w:rPr>
      </w:r>
      <w:r w:rsidR="00C354D5" w:rsidRPr="0052162C">
        <w:rPr>
          <w:rFonts w:cs="Arial"/>
          <w:szCs w:val="20"/>
        </w:rPr>
        <w:fldChar w:fldCharType="separate"/>
      </w:r>
      <w:r w:rsidR="002C014F">
        <w:t xml:space="preserve">Figura </w:t>
      </w:r>
      <w:r w:rsidR="002C014F">
        <w:rPr>
          <w:noProof/>
        </w:rPr>
        <w:t>20</w:t>
      </w:r>
      <w:r w:rsidR="00C354D5" w:rsidRPr="0052162C">
        <w:rPr>
          <w:rFonts w:cs="Arial"/>
          <w:szCs w:val="20"/>
        </w:rPr>
        <w:fldChar w:fldCharType="end"/>
      </w:r>
      <w:r w:rsidRPr="0052162C">
        <w:rPr>
          <w:rFonts w:cs="Arial"/>
          <w:szCs w:val="20"/>
        </w:rPr>
        <w:t>). Observou-se nestes</w:t>
      </w:r>
      <w:r>
        <w:rPr>
          <w:rFonts w:cs="Arial"/>
          <w:szCs w:val="20"/>
        </w:rPr>
        <w:t xml:space="preserve"> dois ambientes um comportamento heterogêneo com a predominância de hidrocarbonetos alifáticos ímpares, o que é um indicativo de fonte biológica da ocorrência dos hidrocarbonetos, também apresentaram </w:t>
      </w:r>
      <w:r w:rsidRPr="006C5C7E">
        <w:rPr>
          <w:rFonts w:cs="Arial"/>
          <w:szCs w:val="20"/>
        </w:rPr>
        <w:t xml:space="preserve">as maiores concentrações </w:t>
      </w:r>
      <w:r>
        <w:rPr>
          <w:rFonts w:cs="Arial"/>
          <w:szCs w:val="20"/>
        </w:rPr>
        <w:t>de hidrocarbonetos alifáticos</w:t>
      </w:r>
      <w:r w:rsidRPr="006C5C7E">
        <w:rPr>
          <w:rFonts w:cs="Arial"/>
          <w:szCs w:val="20"/>
        </w:rPr>
        <w:t xml:space="preserve"> em relação aos demais ambientes</w:t>
      </w:r>
      <w:r>
        <w:rPr>
          <w:rFonts w:cs="Arial"/>
          <w:szCs w:val="20"/>
        </w:rPr>
        <w:t>.</w:t>
      </w:r>
    </w:p>
    <w:p w14:paraId="729FB40C" w14:textId="77777777" w:rsidR="00EC0C73" w:rsidRDefault="00EC0C73" w:rsidP="00EC0C73">
      <w:pPr>
        <w:ind w:firstLine="708"/>
      </w:pPr>
      <w:r>
        <w:br w:type="page"/>
      </w:r>
    </w:p>
    <w:p w14:paraId="73CB2060" w14:textId="3139B07A" w:rsidR="00EC0C73" w:rsidRDefault="00EC0C73" w:rsidP="00EC0C73">
      <w:pPr>
        <w:pStyle w:val="Legenda"/>
        <w:keepNext/>
      </w:pPr>
      <w:bookmarkStart w:id="81" w:name="_Ref42075235"/>
      <w:bookmarkStart w:id="82" w:name="_Toc46992153"/>
      <w:r>
        <w:lastRenderedPageBreak/>
        <w:t xml:space="preserve">Figura </w:t>
      </w:r>
      <w:fldSimple w:instr=" SEQ Figura \* ARABIC ">
        <w:r w:rsidR="002C014F">
          <w:rPr>
            <w:noProof/>
          </w:rPr>
          <w:t>19</w:t>
        </w:r>
      </w:fldSimple>
      <w:bookmarkEnd w:id="81"/>
      <w:r>
        <w:t xml:space="preserve"> - Variabilidade das concentrações de hidrocarbonetos alifáticos de C9 a C23 nas 68 amostras de água analisadas no período de transição (</w:t>
      </w:r>
      <w:proofErr w:type="spellStart"/>
      <w:r>
        <w:t>nov</w:t>
      </w:r>
      <w:proofErr w:type="spellEnd"/>
      <w:r>
        <w:t xml:space="preserve">/2019 a </w:t>
      </w:r>
      <w:proofErr w:type="spellStart"/>
      <w:r>
        <w:t>fev</w:t>
      </w:r>
      <w:proofErr w:type="spellEnd"/>
      <w:r>
        <w:t xml:space="preserve">/2020) agrupadas em diferentes ambientes (Rio </w:t>
      </w:r>
      <w:proofErr w:type="spellStart"/>
      <w:r>
        <w:t>Guandú</w:t>
      </w:r>
      <w:proofErr w:type="spellEnd"/>
      <w:r>
        <w:t>, Rio Doce, Lagos e Lagoas).</w:t>
      </w:r>
      <w:bookmarkEnd w:id="82"/>
    </w:p>
    <w:p w14:paraId="52A5F1FE" w14:textId="77777777" w:rsidR="00EC0C73" w:rsidRDefault="00EC0C73" w:rsidP="00EC0C73">
      <w:pPr>
        <w:jc w:val="center"/>
      </w:pPr>
      <w:r>
        <w:rPr>
          <w:noProof/>
          <w:lang w:eastAsia="pt-BR"/>
        </w:rPr>
        <w:drawing>
          <wp:inline distT="0" distB="0" distL="0" distR="0" wp14:anchorId="43CA3C18" wp14:editId="0339B999">
            <wp:extent cx="4752975" cy="6840000"/>
            <wp:effectExtent l="0" t="0" r="0" b="0"/>
            <wp:docPr id="30" name="Imagem 30"/>
            <wp:cNvGraphicFramePr/>
            <a:graphic xmlns:a="http://schemas.openxmlformats.org/drawingml/2006/main">
              <a:graphicData uri="http://schemas.openxmlformats.org/drawingml/2006/picture">
                <pic:pic xmlns:pic="http://schemas.openxmlformats.org/drawingml/2006/picture">
                  <pic:nvPicPr>
                    <pic:cNvPr id="26" name="Imagem 26"/>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52975" cy="6840000"/>
                    </a:xfrm>
                    <a:prstGeom prst="rect">
                      <a:avLst/>
                    </a:prstGeom>
                    <a:noFill/>
                    <a:ln>
                      <a:noFill/>
                    </a:ln>
                  </pic:spPr>
                </pic:pic>
              </a:graphicData>
            </a:graphic>
          </wp:inline>
        </w:drawing>
      </w:r>
    </w:p>
    <w:p w14:paraId="43418580" w14:textId="5AF2FA1E" w:rsidR="00EC0C73" w:rsidRDefault="00EC0C73" w:rsidP="00EC0C73">
      <w:pPr>
        <w:pStyle w:val="Legenda"/>
        <w:keepNext/>
      </w:pPr>
      <w:bookmarkStart w:id="83" w:name="_Ref42075251"/>
      <w:bookmarkStart w:id="84" w:name="_Toc46992154"/>
      <w:r>
        <w:lastRenderedPageBreak/>
        <w:t xml:space="preserve">Figura </w:t>
      </w:r>
      <w:fldSimple w:instr=" SEQ Figura \* ARABIC ">
        <w:r w:rsidR="002C014F">
          <w:rPr>
            <w:noProof/>
          </w:rPr>
          <w:t>20</w:t>
        </w:r>
      </w:fldSimple>
      <w:bookmarkEnd w:id="83"/>
      <w:r>
        <w:t xml:space="preserve"> - Variabilidade das concentrações de hidrocarbonetos alifáticos de C24 a C40 nas 68 amostras de água analisadas no período de transição (</w:t>
      </w:r>
      <w:proofErr w:type="spellStart"/>
      <w:r>
        <w:t>nov</w:t>
      </w:r>
      <w:proofErr w:type="spellEnd"/>
      <w:r>
        <w:t xml:space="preserve">/2019 a </w:t>
      </w:r>
      <w:proofErr w:type="spellStart"/>
      <w:r>
        <w:t>fev</w:t>
      </w:r>
      <w:proofErr w:type="spellEnd"/>
      <w:r>
        <w:t xml:space="preserve">/2020) agrupadas em diferentes ambientes (Rio </w:t>
      </w:r>
      <w:proofErr w:type="spellStart"/>
      <w:r>
        <w:t>Guandú</w:t>
      </w:r>
      <w:proofErr w:type="spellEnd"/>
      <w:r>
        <w:t>, Rio Doce, Lagos e Lagoas).</w:t>
      </w:r>
      <w:bookmarkEnd w:id="84"/>
    </w:p>
    <w:p w14:paraId="43AB4C60" w14:textId="77777777" w:rsidR="00EC0C73" w:rsidRDefault="00EC0C73" w:rsidP="00EC0C73">
      <w:pPr>
        <w:jc w:val="center"/>
        <w:rPr>
          <w:rFonts w:cs="Arial"/>
          <w:szCs w:val="20"/>
        </w:rPr>
      </w:pPr>
      <w:r>
        <w:rPr>
          <w:noProof/>
          <w:lang w:eastAsia="pt-BR"/>
        </w:rPr>
        <w:drawing>
          <wp:inline distT="0" distB="0" distL="0" distR="0" wp14:anchorId="2FBA877D" wp14:editId="6CC56684">
            <wp:extent cx="4876165" cy="6840000"/>
            <wp:effectExtent l="0" t="0" r="635" b="0"/>
            <wp:docPr id="31" name="Imagem 31"/>
            <wp:cNvGraphicFramePr/>
            <a:graphic xmlns:a="http://schemas.openxmlformats.org/drawingml/2006/main">
              <a:graphicData uri="http://schemas.openxmlformats.org/drawingml/2006/picture">
                <pic:pic xmlns:pic="http://schemas.openxmlformats.org/drawingml/2006/picture">
                  <pic:nvPicPr>
                    <pic:cNvPr id="27" name="Imagem 27"/>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76165" cy="6840000"/>
                    </a:xfrm>
                    <a:prstGeom prst="rect">
                      <a:avLst/>
                    </a:prstGeom>
                    <a:noFill/>
                    <a:ln>
                      <a:noFill/>
                    </a:ln>
                  </pic:spPr>
                </pic:pic>
              </a:graphicData>
            </a:graphic>
          </wp:inline>
        </w:drawing>
      </w:r>
    </w:p>
    <w:p w14:paraId="1D9DE6A7" w14:textId="77777777" w:rsidR="00EC0C73" w:rsidRDefault="00EC0C73" w:rsidP="00EC0C73">
      <w:pPr>
        <w:jc w:val="center"/>
        <w:rPr>
          <w:rFonts w:cs="Arial"/>
          <w:szCs w:val="20"/>
        </w:rPr>
      </w:pPr>
      <w:r>
        <w:rPr>
          <w:rFonts w:cs="Arial"/>
          <w:szCs w:val="20"/>
        </w:rPr>
        <w:t xml:space="preserve"> </w:t>
      </w:r>
    </w:p>
    <w:p w14:paraId="0274BF3A" w14:textId="6BFAC8E4" w:rsidR="00EC0C73" w:rsidRDefault="00EC0C73" w:rsidP="00A609B4">
      <w:pPr>
        <w:ind w:firstLine="708"/>
      </w:pPr>
      <w:r>
        <w:rPr>
          <w:rFonts w:cs="Arial"/>
          <w:szCs w:val="20"/>
        </w:rPr>
        <w:t>Não existe</w:t>
      </w:r>
      <w:r w:rsidRPr="00604D09">
        <w:rPr>
          <w:rFonts w:cs="Arial"/>
          <w:szCs w:val="20"/>
        </w:rPr>
        <w:t xml:space="preserve"> ainda legislação que estabeleça os limites de concentração dos hidrocarbonetos alifáticos em água.</w:t>
      </w:r>
      <w:r>
        <w:rPr>
          <w:rFonts w:cs="Arial"/>
          <w:szCs w:val="20"/>
        </w:rPr>
        <w:t xml:space="preserve"> Entretanto, o</w:t>
      </w:r>
      <w:r w:rsidRPr="00604D09">
        <w:rPr>
          <w:rFonts w:cs="Arial"/>
          <w:szCs w:val="20"/>
        </w:rPr>
        <w:t xml:space="preserve"> monitoramento desses compostos </w:t>
      </w:r>
      <w:r>
        <w:rPr>
          <w:rFonts w:cs="Arial"/>
          <w:szCs w:val="20"/>
        </w:rPr>
        <w:t>é</w:t>
      </w:r>
      <w:r w:rsidRPr="00604D09">
        <w:rPr>
          <w:rFonts w:cs="Arial"/>
          <w:szCs w:val="20"/>
        </w:rPr>
        <w:t xml:space="preserve"> de fundamental importância, visto que eles apresentam</w:t>
      </w:r>
      <w:r>
        <w:rPr>
          <w:rFonts w:cs="Arial"/>
          <w:szCs w:val="20"/>
        </w:rPr>
        <w:t xml:space="preserve"> </w:t>
      </w:r>
      <w:r w:rsidRPr="00604D09">
        <w:rPr>
          <w:rFonts w:cs="Arial"/>
          <w:szCs w:val="20"/>
        </w:rPr>
        <w:t>estabilidade química em água e sedimentos,</w:t>
      </w:r>
      <w:r>
        <w:rPr>
          <w:rFonts w:cs="Arial"/>
          <w:szCs w:val="20"/>
        </w:rPr>
        <w:t xml:space="preserve"> e podem</w:t>
      </w:r>
      <w:r w:rsidRPr="00604D09">
        <w:rPr>
          <w:rFonts w:cs="Arial"/>
          <w:szCs w:val="20"/>
        </w:rPr>
        <w:t xml:space="preserve"> </w:t>
      </w:r>
      <w:r>
        <w:rPr>
          <w:rFonts w:cs="Arial"/>
          <w:szCs w:val="20"/>
        </w:rPr>
        <w:t>ser</w:t>
      </w:r>
      <w:r w:rsidRPr="00604D09">
        <w:rPr>
          <w:rFonts w:cs="Arial"/>
          <w:szCs w:val="20"/>
        </w:rPr>
        <w:t xml:space="preserve"> utilizados como biomarcadores e indicadores de poluição de petróleo. </w:t>
      </w:r>
    </w:p>
    <w:p w14:paraId="53D8B4E3" w14:textId="01781764" w:rsidR="00EC0C73" w:rsidRPr="00EC0C73" w:rsidRDefault="00EC0C73" w:rsidP="00EC0C73">
      <w:pPr>
        <w:pStyle w:val="Ttulo3"/>
      </w:pPr>
      <w:bookmarkStart w:id="85" w:name="_Toc46992123"/>
      <w:r w:rsidRPr="00EC0C73">
        <w:rPr>
          <w:rStyle w:val="Ttulo3Char"/>
          <w:b/>
        </w:rPr>
        <w:lastRenderedPageBreak/>
        <w:t>Esteróis</w:t>
      </w:r>
      <w:bookmarkEnd w:id="85"/>
      <w:r w:rsidRPr="00EC0C73">
        <w:tab/>
      </w:r>
    </w:p>
    <w:p w14:paraId="3BA057BC" w14:textId="77777777" w:rsidR="00EC0C73" w:rsidRPr="00016451" w:rsidRDefault="00EC0C73" w:rsidP="00EC0C73">
      <w:pPr>
        <w:ind w:firstLine="708"/>
        <w:rPr>
          <w:rFonts w:cs="Arial"/>
          <w:szCs w:val="20"/>
        </w:rPr>
      </w:pPr>
      <w:r w:rsidRPr="00016451">
        <w:rPr>
          <w:rFonts w:cs="Arial"/>
          <w:szCs w:val="20"/>
        </w:rPr>
        <w:t>Analis</w:t>
      </w:r>
      <w:r>
        <w:rPr>
          <w:rFonts w:cs="Arial"/>
          <w:szCs w:val="20"/>
        </w:rPr>
        <w:t>aram</w:t>
      </w:r>
      <w:r w:rsidRPr="00016451">
        <w:rPr>
          <w:rFonts w:cs="Arial"/>
          <w:szCs w:val="20"/>
        </w:rPr>
        <w:t>-se as amostras de água até a 16</w:t>
      </w:r>
      <w:r w:rsidRPr="003D57D3">
        <w:rPr>
          <w:rFonts w:cs="Arial"/>
          <w:szCs w:val="20"/>
          <w:vertAlign w:val="superscript"/>
        </w:rPr>
        <w:t>a</w:t>
      </w:r>
      <w:r w:rsidRPr="00016451">
        <w:rPr>
          <w:rFonts w:cs="Arial"/>
          <w:szCs w:val="20"/>
        </w:rPr>
        <w:t xml:space="preserve"> campanha, totalizando 273 amostras, das quais 68 são do ano de transição, conforme a metodologia de determinação de esteróis proposta no Ano 1. Além dos esteróis avaliados no ano 1, </w:t>
      </w:r>
      <w:r>
        <w:rPr>
          <w:rFonts w:cs="Arial"/>
          <w:szCs w:val="20"/>
        </w:rPr>
        <w:t>quantificou-se</w:t>
      </w:r>
      <w:r w:rsidRPr="00016451">
        <w:rPr>
          <w:rFonts w:cs="Arial"/>
          <w:szCs w:val="20"/>
        </w:rPr>
        <w:t xml:space="preserve"> </w:t>
      </w:r>
      <w:r>
        <w:rPr>
          <w:rFonts w:cs="Arial"/>
          <w:szCs w:val="20"/>
        </w:rPr>
        <w:t xml:space="preserve">para o período de transição </w:t>
      </w:r>
      <w:r w:rsidRPr="00016451">
        <w:rPr>
          <w:rFonts w:cs="Arial"/>
          <w:szCs w:val="20"/>
        </w:rPr>
        <w:t>o Colesterol, que não tinha sido avaliado anteriormente</w:t>
      </w:r>
      <w:r>
        <w:rPr>
          <w:rFonts w:cs="Arial"/>
          <w:szCs w:val="20"/>
        </w:rPr>
        <w:t>,</w:t>
      </w:r>
      <w:r w:rsidRPr="00016451">
        <w:rPr>
          <w:rFonts w:cs="Arial"/>
          <w:szCs w:val="20"/>
        </w:rPr>
        <w:t xml:space="preserve"> devido a falta do padrão. </w:t>
      </w:r>
      <w:r>
        <w:rPr>
          <w:rFonts w:cs="Arial"/>
          <w:szCs w:val="20"/>
        </w:rPr>
        <w:t>Portanto, o</w:t>
      </w:r>
      <w:r w:rsidRPr="00016451">
        <w:rPr>
          <w:rFonts w:cs="Arial"/>
          <w:szCs w:val="20"/>
        </w:rPr>
        <w:t xml:space="preserve">s doze esteróis avaliados no período de transição </w:t>
      </w:r>
      <w:r w:rsidRPr="00A55967">
        <w:rPr>
          <w:rFonts w:cs="Arial"/>
          <w:szCs w:val="20"/>
        </w:rPr>
        <w:t>foram: 5β-Colestan-3β-</w:t>
      </w:r>
      <w:proofErr w:type="spellStart"/>
      <w:r w:rsidRPr="00A55967">
        <w:rPr>
          <w:rFonts w:cs="Arial"/>
          <w:szCs w:val="20"/>
        </w:rPr>
        <w:t>ol</w:t>
      </w:r>
      <w:proofErr w:type="spellEnd"/>
      <w:r>
        <w:rPr>
          <w:rFonts w:cs="Arial"/>
          <w:szCs w:val="20"/>
        </w:rPr>
        <w:t xml:space="preserve"> </w:t>
      </w:r>
      <w:r w:rsidRPr="00A55967">
        <w:rPr>
          <w:rFonts w:cs="Arial"/>
          <w:szCs w:val="20"/>
        </w:rPr>
        <w:t>(epicoprostanol), 3β-Taraxerol, Campesterol, Colesterol</w:t>
      </w:r>
      <w:r>
        <w:rPr>
          <w:rFonts w:cs="Arial"/>
          <w:szCs w:val="20"/>
        </w:rPr>
        <w:t xml:space="preserve">, Demosterol, </w:t>
      </w:r>
      <w:r w:rsidRPr="00A55967">
        <w:rPr>
          <w:rFonts w:cs="Arial"/>
          <w:szCs w:val="20"/>
        </w:rPr>
        <w:t>5α-Colestan-3β-</w:t>
      </w:r>
      <w:proofErr w:type="spellStart"/>
      <w:r w:rsidRPr="00A55967">
        <w:rPr>
          <w:rFonts w:cs="Arial"/>
          <w:szCs w:val="20"/>
        </w:rPr>
        <w:t>ol</w:t>
      </w:r>
      <w:proofErr w:type="spellEnd"/>
      <w:r w:rsidRPr="00A55967">
        <w:rPr>
          <w:rFonts w:cs="Arial"/>
          <w:szCs w:val="20"/>
        </w:rPr>
        <w:t xml:space="preserve"> (colestanol),</w:t>
      </w:r>
      <w:r>
        <w:rPr>
          <w:rFonts w:cs="Arial"/>
          <w:szCs w:val="20"/>
        </w:rPr>
        <w:t xml:space="preserve"> </w:t>
      </w:r>
      <w:r w:rsidRPr="00A55967">
        <w:rPr>
          <w:rFonts w:cs="Arial"/>
          <w:szCs w:val="20"/>
        </w:rPr>
        <w:t>Estigmasterol, Estigmastanol, Ergosterol, Lanosterol, Coprostanol (5β-Colestan-3β-</w:t>
      </w:r>
      <w:proofErr w:type="spellStart"/>
      <w:r w:rsidRPr="00A55967">
        <w:rPr>
          <w:rFonts w:cs="Arial"/>
          <w:szCs w:val="20"/>
        </w:rPr>
        <w:t>ol</w:t>
      </w:r>
      <w:proofErr w:type="spellEnd"/>
      <w:r w:rsidRPr="00A55967">
        <w:rPr>
          <w:rFonts w:cs="Arial"/>
          <w:szCs w:val="20"/>
        </w:rPr>
        <w:t>), 5β-Cholestan-3-one (Coprostanona).</w:t>
      </w:r>
    </w:p>
    <w:p w14:paraId="1152AE07" w14:textId="63E9FD64" w:rsidR="00EC0C73" w:rsidRPr="00016451" w:rsidRDefault="00EC0C73" w:rsidP="00EC0C73">
      <w:pPr>
        <w:rPr>
          <w:rFonts w:cs="Arial"/>
          <w:szCs w:val="20"/>
        </w:rPr>
      </w:pPr>
      <w:r w:rsidRPr="00016451">
        <w:rPr>
          <w:rFonts w:cs="Arial"/>
          <w:szCs w:val="20"/>
        </w:rPr>
        <w:tab/>
        <w:t xml:space="preserve">A </w:t>
      </w:r>
      <w:r w:rsidR="004F289B">
        <w:rPr>
          <w:rFonts w:cs="Arial"/>
          <w:color w:val="FF0000"/>
          <w:szCs w:val="20"/>
        </w:rPr>
        <w:fldChar w:fldCharType="begin"/>
      </w:r>
      <w:r w:rsidR="004F289B">
        <w:rPr>
          <w:rFonts w:cs="Arial"/>
          <w:szCs w:val="20"/>
        </w:rPr>
        <w:instrText xml:space="preserve"> REF _Ref42075546 \h </w:instrText>
      </w:r>
      <w:r w:rsidR="004F289B">
        <w:rPr>
          <w:rFonts w:cs="Arial"/>
          <w:color w:val="FF0000"/>
          <w:szCs w:val="20"/>
        </w:rPr>
      </w:r>
      <w:r w:rsidR="004F289B">
        <w:rPr>
          <w:rFonts w:cs="Arial"/>
          <w:color w:val="FF0000"/>
          <w:szCs w:val="20"/>
        </w:rPr>
        <w:fldChar w:fldCharType="separate"/>
      </w:r>
      <w:r w:rsidR="002C014F">
        <w:t xml:space="preserve">Figura </w:t>
      </w:r>
      <w:r w:rsidR="002C014F">
        <w:rPr>
          <w:noProof/>
        </w:rPr>
        <w:t>21</w:t>
      </w:r>
      <w:r w:rsidR="004F289B">
        <w:rPr>
          <w:rFonts w:cs="Arial"/>
          <w:color w:val="FF0000"/>
          <w:szCs w:val="20"/>
        </w:rPr>
        <w:fldChar w:fldCharType="end"/>
      </w:r>
      <w:r w:rsidR="004F289B">
        <w:rPr>
          <w:rFonts w:cs="Arial"/>
          <w:color w:val="FF0000"/>
          <w:szCs w:val="20"/>
        </w:rPr>
        <w:t xml:space="preserve"> </w:t>
      </w:r>
      <w:r w:rsidRPr="00016451">
        <w:rPr>
          <w:rFonts w:cs="Arial"/>
          <w:szCs w:val="20"/>
        </w:rPr>
        <w:t>apresenta o gráfico de box-</w:t>
      </w:r>
      <w:proofErr w:type="spellStart"/>
      <w:r w:rsidRPr="00016451">
        <w:rPr>
          <w:rFonts w:cs="Arial"/>
          <w:szCs w:val="20"/>
        </w:rPr>
        <w:t>plot</w:t>
      </w:r>
      <w:proofErr w:type="spellEnd"/>
      <w:r w:rsidRPr="00016451">
        <w:rPr>
          <w:rFonts w:cs="Arial"/>
          <w:szCs w:val="20"/>
        </w:rPr>
        <w:t xml:space="preserve"> para os esteróis totais (somatória dos 12 esteróis analisados) em água nos diferentes ambientes ao longo dos três períodos</w:t>
      </w:r>
      <w:r>
        <w:rPr>
          <w:rFonts w:cs="Arial"/>
          <w:szCs w:val="20"/>
        </w:rPr>
        <w:t xml:space="preserve"> (seca e chuvoso do ano 1 e chuvoso da transição)</w:t>
      </w:r>
      <w:r w:rsidRPr="00016451">
        <w:rPr>
          <w:rFonts w:cs="Arial"/>
          <w:szCs w:val="20"/>
        </w:rPr>
        <w:t>. Percebe-se que houve um aumento significativo das concentrações de esteróis na estação chuvosa. Isto se deve à adição da concentraç</w:t>
      </w:r>
      <w:r>
        <w:rPr>
          <w:rFonts w:cs="Arial"/>
          <w:szCs w:val="20"/>
        </w:rPr>
        <w:t xml:space="preserve">ão </w:t>
      </w:r>
      <w:r w:rsidRPr="00016451">
        <w:rPr>
          <w:rFonts w:cs="Arial"/>
          <w:szCs w:val="20"/>
        </w:rPr>
        <w:t xml:space="preserve">de Colesterol ao </w:t>
      </w:r>
      <w:r>
        <w:rPr>
          <w:rFonts w:cs="Arial"/>
          <w:szCs w:val="20"/>
        </w:rPr>
        <w:t xml:space="preserve">somatório </w:t>
      </w:r>
      <w:r w:rsidRPr="00016451">
        <w:rPr>
          <w:rFonts w:cs="Arial"/>
          <w:szCs w:val="20"/>
        </w:rPr>
        <w:t>total</w:t>
      </w:r>
      <w:r>
        <w:rPr>
          <w:rFonts w:cs="Arial"/>
          <w:szCs w:val="20"/>
        </w:rPr>
        <w:t xml:space="preserve"> dos demais</w:t>
      </w:r>
      <w:r w:rsidRPr="00016451">
        <w:rPr>
          <w:rFonts w:cs="Arial"/>
          <w:szCs w:val="20"/>
        </w:rPr>
        <w:t>, que pass</w:t>
      </w:r>
      <w:r>
        <w:rPr>
          <w:rFonts w:cs="Arial"/>
          <w:szCs w:val="20"/>
        </w:rPr>
        <w:t>ou</w:t>
      </w:r>
      <w:r w:rsidRPr="00016451">
        <w:rPr>
          <w:rFonts w:cs="Arial"/>
          <w:szCs w:val="20"/>
        </w:rPr>
        <w:t xml:space="preserve"> a ser realizadas a partir da 13ª campanha (</w:t>
      </w:r>
      <w:proofErr w:type="spellStart"/>
      <w:r w:rsidRPr="00016451">
        <w:rPr>
          <w:rFonts w:cs="Arial"/>
          <w:szCs w:val="20"/>
        </w:rPr>
        <w:t>nov</w:t>
      </w:r>
      <w:proofErr w:type="spellEnd"/>
      <w:r w:rsidRPr="00016451">
        <w:rPr>
          <w:rFonts w:cs="Arial"/>
          <w:szCs w:val="20"/>
        </w:rPr>
        <w:t>/19)</w:t>
      </w:r>
      <w:r>
        <w:rPr>
          <w:rFonts w:cs="Arial"/>
          <w:szCs w:val="20"/>
        </w:rPr>
        <w:t xml:space="preserve">. Outra hipótese a ser considerada é que devido a </w:t>
      </w:r>
      <w:r w:rsidRPr="00016451">
        <w:rPr>
          <w:rFonts w:cs="Arial"/>
          <w:szCs w:val="20"/>
        </w:rPr>
        <w:t xml:space="preserve">intensa chuva mais esteróis </w:t>
      </w:r>
      <w:r>
        <w:rPr>
          <w:rFonts w:cs="Arial"/>
          <w:szCs w:val="20"/>
        </w:rPr>
        <w:t>foram carreados</w:t>
      </w:r>
      <w:r w:rsidRPr="00016451">
        <w:rPr>
          <w:rFonts w:cs="Arial"/>
          <w:szCs w:val="20"/>
        </w:rPr>
        <w:t xml:space="preserve"> para </w:t>
      </w:r>
      <w:r>
        <w:rPr>
          <w:rFonts w:cs="Arial"/>
          <w:szCs w:val="20"/>
        </w:rPr>
        <w:t>a fase aquosa</w:t>
      </w:r>
      <w:r w:rsidRPr="00016451">
        <w:rPr>
          <w:rFonts w:cs="Arial"/>
          <w:szCs w:val="20"/>
        </w:rPr>
        <w:t>.</w:t>
      </w:r>
    </w:p>
    <w:p w14:paraId="2BEAF725" w14:textId="77777777" w:rsidR="00EC0C73" w:rsidRDefault="00EC0C73" w:rsidP="00EC0C73">
      <w:pPr>
        <w:rPr>
          <w:iCs/>
          <w:sz w:val="16"/>
          <w:szCs w:val="18"/>
        </w:rPr>
      </w:pPr>
      <w:r>
        <w:br w:type="page"/>
      </w:r>
    </w:p>
    <w:p w14:paraId="70180D8C" w14:textId="2B22E3F9" w:rsidR="00EC0C73" w:rsidRDefault="00EC0C73" w:rsidP="00EC0C73">
      <w:pPr>
        <w:pStyle w:val="Legenda"/>
        <w:keepNext/>
        <w:rPr>
          <w:noProof/>
          <w:lang w:eastAsia="pt-BR"/>
        </w:rPr>
      </w:pPr>
      <w:bookmarkStart w:id="86" w:name="_Ref42075546"/>
      <w:bookmarkStart w:id="87" w:name="_Toc46992155"/>
      <w:r>
        <w:lastRenderedPageBreak/>
        <w:t xml:space="preserve">Figura </w:t>
      </w:r>
      <w:fldSimple w:instr=" SEQ Figura \* ARABIC ">
        <w:r w:rsidR="002C014F">
          <w:rPr>
            <w:noProof/>
          </w:rPr>
          <w:t>21</w:t>
        </w:r>
      </w:fldSimple>
      <w:bookmarkEnd w:id="86"/>
      <w:r>
        <w:t xml:space="preserve"> - </w:t>
      </w:r>
      <w:r w:rsidRPr="000C2FC7">
        <w:t xml:space="preserve">Variabilidade das concentrações de diferentes </w:t>
      </w:r>
      <w:r>
        <w:t xml:space="preserve">esteróis nas 273 amostras de água analisadas das 12 estações de coleta, agrupadas por nos ambientes Rio Guandu, Rio Doce, Lagos e Lagoas ao longo dos períodos out/18 a mar/2019 (período chuvoso- ANO 1), </w:t>
      </w:r>
      <w:proofErr w:type="spellStart"/>
      <w:r>
        <w:t>abr</w:t>
      </w:r>
      <w:proofErr w:type="spellEnd"/>
      <w:r>
        <w:t xml:space="preserve">/19 a set/2019 (período de estiagem- ANO 1) e </w:t>
      </w:r>
      <w:proofErr w:type="spellStart"/>
      <w:r>
        <w:t>nov</w:t>
      </w:r>
      <w:proofErr w:type="spellEnd"/>
      <w:r>
        <w:t xml:space="preserve">/19 a </w:t>
      </w:r>
      <w:proofErr w:type="spellStart"/>
      <w:r>
        <w:t>fev</w:t>
      </w:r>
      <w:proofErr w:type="spellEnd"/>
      <w:r>
        <w:t>/2020 (período chuvoso- ANO de transição).</w:t>
      </w:r>
      <w:bookmarkEnd w:id="87"/>
      <w:r w:rsidRPr="00525022">
        <w:rPr>
          <w:noProof/>
          <w:lang w:eastAsia="pt-BR"/>
        </w:rPr>
        <w:t xml:space="preserve"> </w:t>
      </w:r>
    </w:p>
    <w:p w14:paraId="65CC9C28" w14:textId="77777777" w:rsidR="00EC0C73" w:rsidRDefault="00EC0C73" w:rsidP="00EC0C73">
      <w:pPr>
        <w:jc w:val="center"/>
      </w:pPr>
      <w:r w:rsidRPr="0029425A">
        <w:rPr>
          <w:noProof/>
          <w:lang w:eastAsia="pt-BR"/>
        </w:rPr>
        <w:drawing>
          <wp:inline distT="0" distB="0" distL="0" distR="0" wp14:anchorId="0D902BA4" wp14:editId="1F10C374">
            <wp:extent cx="3628700" cy="6840000"/>
            <wp:effectExtent l="0" t="0" r="0" b="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628700" cy="6840000"/>
                    </a:xfrm>
                    <a:prstGeom prst="rect">
                      <a:avLst/>
                    </a:prstGeom>
                    <a:noFill/>
                    <a:ln>
                      <a:noFill/>
                    </a:ln>
                  </pic:spPr>
                </pic:pic>
              </a:graphicData>
            </a:graphic>
          </wp:inline>
        </w:drawing>
      </w:r>
    </w:p>
    <w:p w14:paraId="22AFCA51" w14:textId="213E9059" w:rsidR="00EC0C73" w:rsidRPr="002E247B" w:rsidRDefault="00EC0C73" w:rsidP="00EC0C73">
      <w:pPr>
        <w:ind w:firstLine="708"/>
        <w:rPr>
          <w:rFonts w:cs="Arial"/>
          <w:szCs w:val="20"/>
        </w:rPr>
      </w:pPr>
      <w:r w:rsidRPr="002E247B">
        <w:rPr>
          <w:rFonts w:cs="Arial"/>
          <w:szCs w:val="20"/>
        </w:rPr>
        <w:t xml:space="preserve">Os esteróis podem ser tanto de origem biogênica como antropogênica. Biologicamente, as principais fontes desses compostos são: </w:t>
      </w:r>
      <w:r>
        <w:rPr>
          <w:rFonts w:cs="Arial"/>
          <w:szCs w:val="20"/>
        </w:rPr>
        <w:t xml:space="preserve">a) </w:t>
      </w:r>
      <w:r w:rsidRPr="002E247B">
        <w:rPr>
          <w:rFonts w:cs="Arial"/>
          <w:szCs w:val="20"/>
        </w:rPr>
        <w:t xml:space="preserve">vegetais, tal como </w:t>
      </w:r>
      <w:proofErr w:type="spellStart"/>
      <w:r w:rsidRPr="002E247B">
        <w:rPr>
          <w:rFonts w:cs="Arial"/>
          <w:szCs w:val="20"/>
        </w:rPr>
        <w:t>campesterol</w:t>
      </w:r>
      <w:proofErr w:type="spellEnd"/>
      <w:r w:rsidRPr="002E247B">
        <w:rPr>
          <w:rFonts w:cs="Arial"/>
          <w:szCs w:val="20"/>
        </w:rPr>
        <w:t>, β-</w:t>
      </w:r>
      <w:proofErr w:type="spellStart"/>
      <w:r w:rsidRPr="002E247B">
        <w:rPr>
          <w:rFonts w:cs="Arial"/>
          <w:szCs w:val="20"/>
        </w:rPr>
        <w:t>sitosterol</w:t>
      </w:r>
      <w:proofErr w:type="spellEnd"/>
      <w:r w:rsidRPr="002E247B">
        <w:rPr>
          <w:rFonts w:cs="Arial"/>
          <w:szCs w:val="20"/>
        </w:rPr>
        <w:t xml:space="preserve">, </w:t>
      </w:r>
      <w:proofErr w:type="spellStart"/>
      <w:r w:rsidRPr="002E247B">
        <w:rPr>
          <w:rFonts w:cs="Arial"/>
          <w:szCs w:val="20"/>
        </w:rPr>
        <w:t>estigmasterol</w:t>
      </w:r>
      <w:proofErr w:type="spellEnd"/>
      <w:r w:rsidRPr="002E247B">
        <w:rPr>
          <w:rFonts w:cs="Arial"/>
          <w:szCs w:val="20"/>
        </w:rPr>
        <w:t>, 3β-Taraxerol;</w:t>
      </w:r>
      <w:r>
        <w:rPr>
          <w:rFonts w:cs="Arial"/>
          <w:szCs w:val="20"/>
        </w:rPr>
        <w:t xml:space="preserve"> b) </w:t>
      </w:r>
      <w:r w:rsidRPr="002E247B">
        <w:rPr>
          <w:rFonts w:cs="Arial"/>
          <w:szCs w:val="20"/>
        </w:rPr>
        <w:t>fungos, tal como ergosterol</w:t>
      </w:r>
      <w:r>
        <w:rPr>
          <w:rFonts w:cs="Arial"/>
          <w:szCs w:val="20"/>
        </w:rPr>
        <w:t>; c)</w:t>
      </w:r>
      <w:r w:rsidRPr="002E247B">
        <w:rPr>
          <w:rFonts w:cs="Arial"/>
          <w:szCs w:val="20"/>
        </w:rPr>
        <w:t xml:space="preserve"> fitoplâncton, que normalmente apresentam cadeias com 28 átomos de carbono; e </w:t>
      </w:r>
      <w:r>
        <w:rPr>
          <w:rFonts w:cs="Arial"/>
          <w:szCs w:val="20"/>
        </w:rPr>
        <w:t>d)</w:t>
      </w:r>
      <w:r w:rsidRPr="002E247B">
        <w:rPr>
          <w:rFonts w:cs="Arial"/>
          <w:szCs w:val="20"/>
        </w:rPr>
        <w:t xml:space="preserve"> zooplâncton, (geralmente a classe dominante) que contém esteróis C27, </w:t>
      </w:r>
      <w:r w:rsidRPr="002E247B">
        <w:rPr>
          <w:rFonts w:cs="Arial"/>
          <w:szCs w:val="20"/>
        </w:rPr>
        <w:lastRenderedPageBreak/>
        <w:t>principalmente o colesterol (</w:t>
      </w:r>
      <w:r>
        <w:rPr>
          <w:rFonts w:cs="Arial"/>
          <w:szCs w:val="20"/>
          <w:shd w:val="clear" w:color="auto" w:fill="FFFFFF"/>
        </w:rPr>
        <w:t>3β-cholest-5-en-3-</w:t>
      </w:r>
      <w:r w:rsidRPr="002E247B">
        <w:rPr>
          <w:rFonts w:cs="Arial"/>
          <w:szCs w:val="20"/>
          <w:shd w:val="clear" w:color="auto" w:fill="FFFFFF"/>
        </w:rPr>
        <w:t>ol</w:t>
      </w:r>
      <w:r w:rsidRPr="002E247B">
        <w:rPr>
          <w:rFonts w:cs="Arial"/>
          <w:szCs w:val="20"/>
        </w:rPr>
        <w:t xml:space="preserve">). </w:t>
      </w:r>
      <w:r>
        <w:rPr>
          <w:rFonts w:cs="Arial"/>
          <w:szCs w:val="20"/>
        </w:rPr>
        <w:t xml:space="preserve">Estigmastanol é o produto da </w:t>
      </w:r>
      <w:proofErr w:type="spellStart"/>
      <w:r w:rsidRPr="002E247B">
        <w:rPr>
          <w:rFonts w:cs="Arial"/>
          <w:szCs w:val="20"/>
        </w:rPr>
        <w:t>bio</w:t>
      </w:r>
      <w:hyperlink r:id="rId43" w:tooltip="redox" w:history="1">
        <w:r w:rsidRPr="002E247B">
          <w:rPr>
            <w:rFonts w:cs="Arial"/>
            <w:szCs w:val="20"/>
          </w:rPr>
          <w:t>redução</w:t>
        </w:r>
        <w:proofErr w:type="spellEnd"/>
      </w:hyperlink>
      <w:r>
        <w:rPr>
          <w:rFonts w:cs="Arial"/>
          <w:szCs w:val="20"/>
        </w:rPr>
        <w:t xml:space="preserve"> de </w:t>
      </w:r>
      <w:hyperlink r:id="rId44" w:tooltip="Β-sitosterol" w:history="1">
        <w:r w:rsidRPr="002E247B">
          <w:rPr>
            <w:rFonts w:cs="Arial"/>
            <w:szCs w:val="20"/>
          </w:rPr>
          <w:t>β-</w:t>
        </w:r>
        <w:proofErr w:type="spellStart"/>
        <w:r w:rsidRPr="002E247B">
          <w:rPr>
            <w:rFonts w:cs="Arial"/>
            <w:szCs w:val="20"/>
          </w:rPr>
          <w:t>sitosterol</w:t>
        </w:r>
        <w:proofErr w:type="spellEnd"/>
      </w:hyperlink>
      <w:r>
        <w:rPr>
          <w:rFonts w:cs="Arial"/>
          <w:szCs w:val="20"/>
        </w:rPr>
        <w:t xml:space="preserve"> e a </w:t>
      </w:r>
      <w:proofErr w:type="spellStart"/>
      <w:r w:rsidRPr="002E247B">
        <w:rPr>
          <w:rFonts w:cs="Arial"/>
          <w:szCs w:val="20"/>
        </w:rPr>
        <w:t>bio</w:t>
      </w:r>
      <w:hyperlink r:id="rId45" w:tooltip="hidrogenação" w:history="1">
        <w:r w:rsidRPr="002E247B">
          <w:rPr>
            <w:rFonts w:cs="Arial"/>
            <w:szCs w:val="20"/>
          </w:rPr>
          <w:t>hidrogenação</w:t>
        </w:r>
        <w:proofErr w:type="spellEnd"/>
      </w:hyperlink>
      <w:r>
        <w:rPr>
          <w:rFonts w:cs="Arial"/>
          <w:szCs w:val="20"/>
        </w:rPr>
        <w:t xml:space="preserve"> </w:t>
      </w:r>
      <w:r w:rsidRPr="002E247B">
        <w:rPr>
          <w:rFonts w:cs="Arial"/>
          <w:szCs w:val="20"/>
        </w:rPr>
        <w:t>do</w:t>
      </w:r>
      <w:r>
        <w:rPr>
          <w:rFonts w:cs="Arial"/>
          <w:szCs w:val="20"/>
        </w:rPr>
        <w:t xml:space="preserve"> </w:t>
      </w:r>
      <w:hyperlink r:id="rId46" w:tooltip="estigmasterol" w:history="1">
        <w:proofErr w:type="spellStart"/>
        <w:r w:rsidRPr="002E247B">
          <w:rPr>
            <w:rFonts w:cs="Arial"/>
            <w:szCs w:val="20"/>
          </w:rPr>
          <w:t>estigmasterol</w:t>
        </w:r>
        <w:proofErr w:type="spellEnd"/>
      </w:hyperlink>
      <w:r w:rsidRPr="002E247B">
        <w:rPr>
          <w:rFonts w:cs="Arial"/>
          <w:szCs w:val="20"/>
        </w:rPr>
        <w:t>.</w:t>
      </w:r>
    </w:p>
    <w:p w14:paraId="4CF14F61" w14:textId="77777777" w:rsidR="00EC0C73" w:rsidRDefault="00EC0C73" w:rsidP="00EC0C73">
      <w:pPr>
        <w:ind w:firstLine="708"/>
        <w:rPr>
          <w:rFonts w:cs="Arial"/>
          <w:szCs w:val="20"/>
        </w:rPr>
      </w:pPr>
      <w:r w:rsidRPr="002E247B">
        <w:rPr>
          <w:rFonts w:cs="Arial"/>
          <w:szCs w:val="20"/>
        </w:rPr>
        <w:t xml:space="preserve">As principais fontes antrópicas são os esgotos domésticos, que normalmente apresentam </w:t>
      </w:r>
      <w:proofErr w:type="spellStart"/>
      <w:r w:rsidRPr="002E247B">
        <w:rPr>
          <w:rFonts w:cs="Arial"/>
          <w:szCs w:val="20"/>
        </w:rPr>
        <w:t>coprostanol</w:t>
      </w:r>
      <w:proofErr w:type="spellEnd"/>
      <w:r w:rsidRPr="002E247B">
        <w:rPr>
          <w:rFonts w:cs="Arial"/>
          <w:szCs w:val="20"/>
        </w:rPr>
        <w:t xml:space="preserve"> (5β-Cholestan-3β-</w:t>
      </w:r>
      <w:proofErr w:type="spellStart"/>
      <w:r w:rsidRPr="002E247B">
        <w:rPr>
          <w:rFonts w:cs="Arial"/>
          <w:szCs w:val="20"/>
        </w:rPr>
        <w:t>ol</w:t>
      </w:r>
      <w:proofErr w:type="spellEnd"/>
      <w:r w:rsidRPr="002E247B">
        <w:rPr>
          <w:rFonts w:cs="Arial"/>
          <w:szCs w:val="20"/>
        </w:rPr>
        <w:t>), epicoprostanol (5β-Cholestan-3β-</w:t>
      </w:r>
      <w:proofErr w:type="spellStart"/>
      <w:r w:rsidRPr="002E247B">
        <w:rPr>
          <w:rFonts w:cs="Arial"/>
          <w:szCs w:val="20"/>
        </w:rPr>
        <w:t>ol</w:t>
      </w:r>
      <w:proofErr w:type="spellEnd"/>
      <w:r w:rsidRPr="002E247B">
        <w:rPr>
          <w:rFonts w:cs="Arial"/>
          <w:szCs w:val="20"/>
        </w:rPr>
        <w:t xml:space="preserve">) e </w:t>
      </w:r>
      <w:proofErr w:type="spellStart"/>
      <w:r w:rsidRPr="002E247B">
        <w:rPr>
          <w:rFonts w:cs="Arial"/>
          <w:szCs w:val="20"/>
        </w:rPr>
        <w:t>coprostanona</w:t>
      </w:r>
      <w:proofErr w:type="spellEnd"/>
      <w:r w:rsidRPr="002E247B">
        <w:rPr>
          <w:rFonts w:cs="Arial"/>
          <w:szCs w:val="20"/>
        </w:rPr>
        <w:t xml:space="preserve"> (5β-Cholestan-3-one), que são originários de fezes humanas, sendo o </w:t>
      </w:r>
      <w:proofErr w:type="spellStart"/>
      <w:r w:rsidRPr="002E247B">
        <w:rPr>
          <w:rFonts w:cs="Arial"/>
          <w:szCs w:val="20"/>
        </w:rPr>
        <w:t>coprostanol</w:t>
      </w:r>
      <w:proofErr w:type="spellEnd"/>
      <w:r w:rsidRPr="002E247B">
        <w:rPr>
          <w:rFonts w:cs="Arial"/>
          <w:szCs w:val="20"/>
        </w:rPr>
        <w:t xml:space="preserve"> o de maior ocorrência. O colesterol também é encontrado em fezes humanas</w:t>
      </w:r>
      <w:r>
        <w:rPr>
          <w:rFonts w:cs="Arial"/>
          <w:szCs w:val="20"/>
        </w:rPr>
        <w:t>,</w:t>
      </w:r>
      <w:r w:rsidRPr="002E247B">
        <w:rPr>
          <w:rFonts w:cs="Arial"/>
          <w:szCs w:val="20"/>
        </w:rPr>
        <w:t xml:space="preserve"> embora seja de origem planctônica. Demosterol é precursor do colesterol </w:t>
      </w:r>
      <w:r w:rsidRPr="002E247B">
        <w:rPr>
          <w:rFonts w:cs="Arial"/>
          <w:szCs w:val="20"/>
          <w:shd w:val="clear" w:color="auto" w:fill="FFFFFF"/>
        </w:rPr>
        <w:t>e o Colestanol (</w:t>
      </w:r>
      <w:r w:rsidRPr="002E247B">
        <w:rPr>
          <w:rFonts w:cs="Arial"/>
          <w:szCs w:val="20"/>
        </w:rPr>
        <w:t>5α-Colestan-3β-</w:t>
      </w:r>
      <w:proofErr w:type="spellStart"/>
      <w:r w:rsidRPr="002E247B">
        <w:rPr>
          <w:rFonts w:cs="Arial"/>
          <w:szCs w:val="20"/>
        </w:rPr>
        <w:t>ol</w:t>
      </w:r>
      <w:proofErr w:type="spellEnd"/>
      <w:r w:rsidRPr="002E247B">
        <w:rPr>
          <w:rFonts w:cs="Arial"/>
          <w:szCs w:val="20"/>
        </w:rPr>
        <w:t xml:space="preserve">) é </w:t>
      </w:r>
      <w:r w:rsidRPr="00E87093">
        <w:rPr>
          <w:rFonts w:cs="Arial"/>
          <w:szCs w:val="20"/>
        </w:rPr>
        <w:t xml:space="preserve">derivado da </w:t>
      </w:r>
      <w:proofErr w:type="spellStart"/>
      <w:r w:rsidRPr="00E87093">
        <w:rPr>
          <w:rFonts w:cs="Arial"/>
          <w:szCs w:val="20"/>
        </w:rPr>
        <w:t>biohidrogenação</w:t>
      </w:r>
      <w:proofErr w:type="spellEnd"/>
      <w:r w:rsidRPr="00E87093">
        <w:rPr>
          <w:rFonts w:cs="Arial"/>
          <w:szCs w:val="20"/>
        </w:rPr>
        <w:t xml:space="preserve"> do colesterol.</w:t>
      </w:r>
      <w:r>
        <w:rPr>
          <w:rFonts w:cs="Arial"/>
          <w:szCs w:val="20"/>
        </w:rPr>
        <w:t xml:space="preserve"> </w:t>
      </w:r>
    </w:p>
    <w:p w14:paraId="607F20CA" w14:textId="77777777" w:rsidR="00EC0C73" w:rsidRPr="00E87093" w:rsidRDefault="00EC0C73" w:rsidP="00EC0C73">
      <w:pPr>
        <w:ind w:firstLine="708"/>
        <w:rPr>
          <w:rFonts w:cs="Arial"/>
          <w:szCs w:val="20"/>
        </w:rPr>
      </w:pPr>
      <w:r>
        <w:rPr>
          <w:rFonts w:cs="Arial"/>
          <w:szCs w:val="20"/>
        </w:rPr>
        <w:t>Assim, utilizaram-se os e</w:t>
      </w:r>
      <w:r w:rsidRPr="004933E2">
        <w:rPr>
          <w:rFonts w:cs="Arial"/>
          <w:szCs w:val="20"/>
        </w:rPr>
        <w:t>steróis</w:t>
      </w:r>
      <w:r>
        <w:rPr>
          <w:rFonts w:cs="Arial"/>
          <w:szCs w:val="20"/>
        </w:rPr>
        <w:t xml:space="preserve"> como </w:t>
      </w:r>
      <w:r w:rsidRPr="004933E2">
        <w:rPr>
          <w:rFonts w:cs="Arial"/>
          <w:szCs w:val="20"/>
        </w:rPr>
        <w:t>biomarcado</w:t>
      </w:r>
      <w:r>
        <w:rPr>
          <w:rFonts w:cs="Arial"/>
          <w:szCs w:val="20"/>
        </w:rPr>
        <w:t xml:space="preserve">res </w:t>
      </w:r>
      <w:r w:rsidRPr="004933E2">
        <w:rPr>
          <w:rFonts w:cs="Arial"/>
          <w:szCs w:val="20"/>
        </w:rPr>
        <w:t xml:space="preserve">para avaliar e distinguir diferentes fontes de contaminação por esgoto. </w:t>
      </w:r>
      <w:r>
        <w:rPr>
          <w:rFonts w:cs="Arial"/>
          <w:szCs w:val="20"/>
        </w:rPr>
        <w:t>Embora</w:t>
      </w:r>
      <w:r w:rsidRPr="004933E2">
        <w:rPr>
          <w:rFonts w:cs="Arial"/>
          <w:szCs w:val="20"/>
        </w:rPr>
        <w:t xml:space="preserve"> mais caros e mais complicados de serem utilizados do que os coliformes, esteróis permanecem no meio por mais tempo e apresentam maior especificidade</w:t>
      </w:r>
      <w:r>
        <w:rPr>
          <w:rFonts w:cs="Arial"/>
          <w:szCs w:val="20"/>
        </w:rPr>
        <w:t xml:space="preserve">. </w:t>
      </w:r>
    </w:p>
    <w:p w14:paraId="0819DC73" w14:textId="68B4A27F" w:rsidR="00EC0C73" w:rsidRDefault="00EC0C73" w:rsidP="00EC0C73">
      <w:pPr>
        <w:ind w:firstLine="708"/>
        <w:rPr>
          <w:rFonts w:cs="Arial"/>
          <w:szCs w:val="20"/>
        </w:rPr>
      </w:pPr>
      <w:r>
        <w:rPr>
          <w:rFonts w:cs="Arial"/>
          <w:szCs w:val="20"/>
        </w:rPr>
        <w:t>Verificou-se</w:t>
      </w:r>
      <w:r w:rsidRPr="00E87093">
        <w:rPr>
          <w:rFonts w:cs="Arial"/>
          <w:szCs w:val="20"/>
        </w:rPr>
        <w:t xml:space="preserve">, por meio da </w:t>
      </w:r>
      <w:r w:rsidR="004D4055">
        <w:rPr>
          <w:rFonts w:cs="Arial"/>
          <w:color w:val="FF0000"/>
          <w:szCs w:val="20"/>
        </w:rPr>
        <w:fldChar w:fldCharType="begin"/>
      </w:r>
      <w:r w:rsidR="004D4055">
        <w:rPr>
          <w:rFonts w:cs="Arial"/>
          <w:szCs w:val="20"/>
        </w:rPr>
        <w:instrText xml:space="preserve"> REF _Ref22914417 \h </w:instrText>
      </w:r>
      <w:r w:rsidR="004D4055">
        <w:rPr>
          <w:rFonts w:cs="Arial"/>
          <w:color w:val="FF0000"/>
          <w:szCs w:val="20"/>
        </w:rPr>
      </w:r>
      <w:r w:rsidR="004D4055">
        <w:rPr>
          <w:rFonts w:cs="Arial"/>
          <w:color w:val="FF0000"/>
          <w:szCs w:val="20"/>
        </w:rPr>
        <w:fldChar w:fldCharType="separate"/>
      </w:r>
      <w:r w:rsidR="002C014F">
        <w:t xml:space="preserve">Figura </w:t>
      </w:r>
      <w:r w:rsidR="002C014F">
        <w:rPr>
          <w:noProof/>
        </w:rPr>
        <w:t>22</w:t>
      </w:r>
      <w:r w:rsidR="004D4055">
        <w:rPr>
          <w:rFonts w:cs="Arial"/>
          <w:color w:val="FF0000"/>
          <w:szCs w:val="20"/>
        </w:rPr>
        <w:fldChar w:fldCharType="end"/>
      </w:r>
      <w:r w:rsidRPr="00E87093">
        <w:rPr>
          <w:rFonts w:cs="Arial"/>
          <w:szCs w:val="20"/>
        </w:rPr>
        <w:t xml:space="preserve">, </w:t>
      </w:r>
      <w:r>
        <w:rPr>
          <w:rFonts w:cs="Arial"/>
          <w:szCs w:val="20"/>
        </w:rPr>
        <w:t xml:space="preserve">que no ano de transição a presença do </w:t>
      </w:r>
      <w:proofErr w:type="spellStart"/>
      <w:r w:rsidRPr="002E247B">
        <w:rPr>
          <w:rFonts w:cs="Arial"/>
          <w:szCs w:val="20"/>
        </w:rPr>
        <w:t>coprostanol</w:t>
      </w:r>
      <w:proofErr w:type="spellEnd"/>
      <w:r w:rsidRPr="002E247B">
        <w:rPr>
          <w:rFonts w:cs="Arial"/>
          <w:szCs w:val="20"/>
        </w:rPr>
        <w:t xml:space="preserve"> (5β-Cholestan-3β-</w:t>
      </w:r>
      <w:proofErr w:type="spellStart"/>
      <w:r w:rsidRPr="002E247B">
        <w:rPr>
          <w:rFonts w:cs="Arial"/>
          <w:szCs w:val="20"/>
        </w:rPr>
        <w:t>ol</w:t>
      </w:r>
      <w:proofErr w:type="spellEnd"/>
      <w:r w:rsidRPr="002E247B">
        <w:rPr>
          <w:rFonts w:cs="Arial"/>
          <w:szCs w:val="20"/>
        </w:rPr>
        <w:t>), epicoprostanol (5β-Cholestan-3β-</w:t>
      </w:r>
      <w:proofErr w:type="spellStart"/>
      <w:r w:rsidRPr="002E247B">
        <w:rPr>
          <w:rFonts w:cs="Arial"/>
          <w:szCs w:val="20"/>
        </w:rPr>
        <w:t>ol</w:t>
      </w:r>
      <w:proofErr w:type="spellEnd"/>
      <w:r w:rsidRPr="002E247B">
        <w:rPr>
          <w:rFonts w:cs="Arial"/>
          <w:szCs w:val="20"/>
        </w:rPr>
        <w:t xml:space="preserve">) e </w:t>
      </w:r>
      <w:proofErr w:type="spellStart"/>
      <w:r w:rsidRPr="002E247B">
        <w:rPr>
          <w:rFonts w:cs="Arial"/>
          <w:szCs w:val="20"/>
        </w:rPr>
        <w:t>coprostanona</w:t>
      </w:r>
      <w:proofErr w:type="spellEnd"/>
      <w:r w:rsidRPr="002E247B">
        <w:rPr>
          <w:rFonts w:cs="Arial"/>
          <w:szCs w:val="20"/>
        </w:rPr>
        <w:t xml:space="preserve"> (5β-Cholestan-3-one)</w:t>
      </w:r>
      <w:r>
        <w:rPr>
          <w:rFonts w:cs="Arial"/>
          <w:szCs w:val="20"/>
        </w:rPr>
        <w:t xml:space="preserve"> é encontrada em todos os ambientes, mostrando que todos são influenciados pelas contaminações domésticas, sendo encontrados com maiores concentrações no Rio Doce e Rio Guandu, respectivamente. </w:t>
      </w:r>
    </w:p>
    <w:p w14:paraId="632ACCF1" w14:textId="77777777" w:rsidR="00EC0C73" w:rsidRPr="00E87093" w:rsidRDefault="00EC0C73" w:rsidP="00EC0C73">
      <w:pPr>
        <w:ind w:firstLine="708"/>
        <w:rPr>
          <w:rFonts w:cs="Arial"/>
          <w:szCs w:val="20"/>
        </w:rPr>
      </w:pPr>
      <w:r>
        <w:rPr>
          <w:rFonts w:cs="Arial"/>
          <w:szCs w:val="20"/>
        </w:rPr>
        <w:t>A</w:t>
      </w:r>
      <w:r w:rsidRPr="00E87093">
        <w:rPr>
          <w:rFonts w:cs="Arial"/>
          <w:szCs w:val="20"/>
        </w:rPr>
        <w:t xml:space="preserve"> distribuição de esteróis em todos os ambientes comportou</w:t>
      </w:r>
      <w:r>
        <w:rPr>
          <w:rFonts w:cs="Arial"/>
          <w:szCs w:val="20"/>
        </w:rPr>
        <w:t>-se</w:t>
      </w:r>
      <w:r w:rsidRPr="00E87093">
        <w:rPr>
          <w:rFonts w:cs="Arial"/>
          <w:szCs w:val="20"/>
        </w:rPr>
        <w:t xml:space="preserve"> de forma similar, apresentando as maiores concentrações medianas para os compostos </w:t>
      </w:r>
      <w:r>
        <w:rPr>
          <w:rFonts w:cs="Arial"/>
          <w:szCs w:val="20"/>
        </w:rPr>
        <w:t>e</w:t>
      </w:r>
      <w:r w:rsidRPr="00E87093">
        <w:rPr>
          <w:rFonts w:cs="Arial"/>
          <w:szCs w:val="20"/>
        </w:rPr>
        <w:t>rgosterol</w:t>
      </w:r>
      <w:r>
        <w:rPr>
          <w:rFonts w:cs="Arial"/>
          <w:szCs w:val="20"/>
        </w:rPr>
        <w:t xml:space="preserve"> (de origem fúngica)</w:t>
      </w:r>
      <w:r w:rsidRPr="00E87093">
        <w:rPr>
          <w:rFonts w:cs="Arial"/>
          <w:szCs w:val="20"/>
        </w:rPr>
        <w:t xml:space="preserve">, </w:t>
      </w:r>
      <w:proofErr w:type="spellStart"/>
      <w:r>
        <w:rPr>
          <w:rFonts w:cs="Arial"/>
          <w:szCs w:val="20"/>
        </w:rPr>
        <w:t>e</w:t>
      </w:r>
      <w:r w:rsidRPr="00E87093">
        <w:rPr>
          <w:rFonts w:cs="Arial"/>
          <w:szCs w:val="20"/>
        </w:rPr>
        <w:t>stigmasterol</w:t>
      </w:r>
      <w:proofErr w:type="spellEnd"/>
      <w:r>
        <w:rPr>
          <w:rFonts w:cs="Arial"/>
          <w:szCs w:val="20"/>
        </w:rPr>
        <w:t xml:space="preserve"> (origem vegetal)</w:t>
      </w:r>
      <w:r w:rsidRPr="00E87093">
        <w:rPr>
          <w:rFonts w:cs="Arial"/>
          <w:szCs w:val="20"/>
        </w:rPr>
        <w:t xml:space="preserve">, </w:t>
      </w:r>
      <w:proofErr w:type="spellStart"/>
      <w:r>
        <w:rPr>
          <w:rFonts w:cs="Arial"/>
          <w:szCs w:val="20"/>
        </w:rPr>
        <w:t>d</w:t>
      </w:r>
      <w:r w:rsidRPr="00E87093">
        <w:rPr>
          <w:rFonts w:cs="Arial"/>
          <w:szCs w:val="20"/>
        </w:rPr>
        <w:t>emosterol</w:t>
      </w:r>
      <w:proofErr w:type="spellEnd"/>
      <w:r>
        <w:rPr>
          <w:rFonts w:cs="Arial"/>
          <w:szCs w:val="20"/>
        </w:rPr>
        <w:t xml:space="preserve"> (precursor do colesterol)</w:t>
      </w:r>
      <w:r w:rsidRPr="00E87093">
        <w:rPr>
          <w:rFonts w:cs="Arial"/>
          <w:szCs w:val="20"/>
        </w:rPr>
        <w:t xml:space="preserve"> e </w:t>
      </w:r>
      <w:r>
        <w:rPr>
          <w:rFonts w:cs="Arial"/>
          <w:szCs w:val="20"/>
        </w:rPr>
        <w:t>c</w:t>
      </w:r>
      <w:r w:rsidRPr="00E87093">
        <w:rPr>
          <w:rFonts w:cs="Arial"/>
          <w:szCs w:val="20"/>
        </w:rPr>
        <w:t>olesterol</w:t>
      </w:r>
      <w:r>
        <w:rPr>
          <w:rFonts w:cs="Arial"/>
          <w:szCs w:val="20"/>
        </w:rPr>
        <w:t xml:space="preserve"> (origem animal e fezes humanas). </w:t>
      </w:r>
      <w:r w:rsidRPr="00E87093">
        <w:rPr>
          <w:rFonts w:cs="Arial"/>
          <w:szCs w:val="20"/>
        </w:rPr>
        <w:t xml:space="preserve">Entretanto, a variabilidade </w:t>
      </w:r>
      <w:r>
        <w:rPr>
          <w:rFonts w:cs="Arial"/>
          <w:szCs w:val="20"/>
        </w:rPr>
        <w:t>mostrou-se</w:t>
      </w:r>
      <w:r w:rsidRPr="00E87093">
        <w:rPr>
          <w:rFonts w:cs="Arial"/>
          <w:szCs w:val="20"/>
        </w:rPr>
        <w:t xml:space="preserve"> um pouco diferente</w:t>
      </w:r>
      <w:r>
        <w:rPr>
          <w:rFonts w:cs="Arial"/>
          <w:szCs w:val="20"/>
        </w:rPr>
        <w:t>,</w:t>
      </w:r>
      <w:r w:rsidRPr="00E87093">
        <w:rPr>
          <w:rFonts w:cs="Arial"/>
          <w:szCs w:val="20"/>
        </w:rPr>
        <w:t xml:space="preserve"> com maiore</w:t>
      </w:r>
      <w:r>
        <w:rPr>
          <w:rFonts w:cs="Arial"/>
          <w:szCs w:val="20"/>
        </w:rPr>
        <w:t xml:space="preserve">s variabilidades de </w:t>
      </w:r>
      <w:proofErr w:type="spellStart"/>
      <w:r>
        <w:rPr>
          <w:rFonts w:cs="Arial"/>
          <w:szCs w:val="20"/>
        </w:rPr>
        <w:t>campesterol</w:t>
      </w:r>
      <w:proofErr w:type="spellEnd"/>
      <w:r>
        <w:rPr>
          <w:rFonts w:cs="Arial"/>
          <w:szCs w:val="20"/>
        </w:rPr>
        <w:t>,</w:t>
      </w:r>
      <w:r w:rsidRPr="00E87093">
        <w:rPr>
          <w:rFonts w:cs="Arial"/>
          <w:szCs w:val="20"/>
        </w:rPr>
        <w:t xml:space="preserve"> </w:t>
      </w:r>
      <w:proofErr w:type="spellStart"/>
      <w:r w:rsidRPr="00E87093">
        <w:rPr>
          <w:rFonts w:cs="Arial"/>
          <w:szCs w:val="20"/>
        </w:rPr>
        <w:t>estigmasterol</w:t>
      </w:r>
      <w:proofErr w:type="spellEnd"/>
      <w:r w:rsidRPr="00E87093">
        <w:rPr>
          <w:rFonts w:cs="Arial"/>
          <w:szCs w:val="20"/>
        </w:rPr>
        <w:t xml:space="preserve"> e </w:t>
      </w:r>
      <w:r w:rsidRPr="00E87093">
        <w:rPr>
          <w:rFonts w:eastAsia="Times New Roman" w:cs="Arial"/>
          <w:szCs w:val="20"/>
          <w:lang w:eastAsia="pt-BR"/>
        </w:rPr>
        <w:t>3Β-Taraxerol</w:t>
      </w:r>
      <w:r>
        <w:rPr>
          <w:rFonts w:eastAsia="Times New Roman" w:cs="Arial"/>
          <w:szCs w:val="20"/>
          <w:lang w:eastAsia="pt-BR"/>
        </w:rPr>
        <w:t xml:space="preserve"> (origem vegetal) para o </w:t>
      </w:r>
      <w:r w:rsidRPr="00E87093">
        <w:rPr>
          <w:rFonts w:cs="Arial"/>
          <w:szCs w:val="20"/>
        </w:rPr>
        <w:t xml:space="preserve">Rio Doce, </w:t>
      </w:r>
      <w:r>
        <w:rPr>
          <w:rFonts w:cs="Arial"/>
          <w:szCs w:val="20"/>
        </w:rPr>
        <w:t xml:space="preserve">e </w:t>
      </w:r>
      <w:proofErr w:type="spellStart"/>
      <w:r>
        <w:rPr>
          <w:rFonts w:cs="Arial"/>
          <w:szCs w:val="20"/>
        </w:rPr>
        <w:t>lanosteral</w:t>
      </w:r>
      <w:proofErr w:type="spellEnd"/>
      <w:r>
        <w:rPr>
          <w:rFonts w:cs="Arial"/>
          <w:szCs w:val="20"/>
        </w:rPr>
        <w:t xml:space="preserve"> nos lagos.</w:t>
      </w:r>
    </w:p>
    <w:p w14:paraId="7C0516FC" w14:textId="5C30B532" w:rsidR="00EC0C73" w:rsidRDefault="00EC0C73" w:rsidP="00EC0C73">
      <w:pPr>
        <w:pStyle w:val="Legenda"/>
        <w:keepNext/>
      </w:pPr>
      <w:bookmarkStart w:id="88" w:name="_Ref22914417"/>
      <w:bookmarkStart w:id="89" w:name="_Toc23430111"/>
      <w:bookmarkStart w:id="90" w:name="_Toc46992156"/>
      <w:r>
        <w:lastRenderedPageBreak/>
        <w:t xml:space="preserve">Figura </w:t>
      </w:r>
      <w:fldSimple w:instr=" SEQ Figura \* ARABIC ">
        <w:r w:rsidR="002C014F">
          <w:rPr>
            <w:noProof/>
          </w:rPr>
          <w:t>22</w:t>
        </w:r>
      </w:fldSimple>
      <w:bookmarkEnd w:id="88"/>
      <w:r>
        <w:t xml:space="preserve"> - Variabilidade das concentrações de diferentes esteróis nas 68 amostras de água analisadas no período de transição (</w:t>
      </w:r>
      <w:proofErr w:type="spellStart"/>
      <w:r>
        <w:t>nov</w:t>
      </w:r>
      <w:proofErr w:type="spellEnd"/>
      <w:r>
        <w:t xml:space="preserve">/2019 a </w:t>
      </w:r>
      <w:proofErr w:type="spellStart"/>
      <w:r>
        <w:t>fev</w:t>
      </w:r>
      <w:proofErr w:type="spellEnd"/>
      <w:r>
        <w:t xml:space="preserve">/2020) em diferentes ambientes (Rio </w:t>
      </w:r>
      <w:proofErr w:type="spellStart"/>
      <w:r>
        <w:t>Guandú</w:t>
      </w:r>
      <w:proofErr w:type="spellEnd"/>
      <w:r>
        <w:t>, Rio Doce, Lagos e Lagoas).</w:t>
      </w:r>
      <w:bookmarkEnd w:id="89"/>
      <w:bookmarkEnd w:id="90"/>
    </w:p>
    <w:p w14:paraId="6A4FAECA" w14:textId="77777777" w:rsidR="00EC0C73" w:rsidRDefault="00EC0C73" w:rsidP="00EC0C73">
      <w:pPr>
        <w:jc w:val="center"/>
      </w:pPr>
      <w:r w:rsidRPr="005E3C7D">
        <w:rPr>
          <w:noProof/>
          <w:lang w:eastAsia="pt-BR"/>
        </w:rPr>
        <w:drawing>
          <wp:inline distT="0" distB="0" distL="0" distR="0" wp14:anchorId="2C7BC898" wp14:editId="23CB3847">
            <wp:extent cx="3686861" cy="7116582"/>
            <wp:effectExtent l="0" t="0" r="8890" b="8255"/>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687715" cy="7118231"/>
                    </a:xfrm>
                    <a:prstGeom prst="rect">
                      <a:avLst/>
                    </a:prstGeom>
                    <a:noFill/>
                    <a:ln>
                      <a:noFill/>
                    </a:ln>
                  </pic:spPr>
                </pic:pic>
              </a:graphicData>
            </a:graphic>
          </wp:inline>
        </w:drawing>
      </w:r>
    </w:p>
    <w:p w14:paraId="032D8608" w14:textId="77777777" w:rsidR="00EC0C73" w:rsidRDefault="00EC0C73" w:rsidP="00EC0C73">
      <w:pPr>
        <w:ind w:firstLine="708"/>
        <w:rPr>
          <w:rFonts w:cs="Arial"/>
          <w:szCs w:val="20"/>
        </w:rPr>
      </w:pPr>
      <w:r>
        <w:rPr>
          <w:rFonts w:cs="Arial"/>
          <w:szCs w:val="20"/>
        </w:rPr>
        <w:t>Não existe</w:t>
      </w:r>
      <w:r w:rsidRPr="00604D09">
        <w:rPr>
          <w:rFonts w:cs="Arial"/>
          <w:szCs w:val="20"/>
        </w:rPr>
        <w:t xml:space="preserve"> ainda legislação que estabeleça os limites de concentração dos </w:t>
      </w:r>
      <w:r>
        <w:rPr>
          <w:rFonts w:cs="Arial"/>
          <w:szCs w:val="20"/>
        </w:rPr>
        <w:t>esteróis</w:t>
      </w:r>
      <w:r w:rsidRPr="00604D09">
        <w:rPr>
          <w:rFonts w:cs="Arial"/>
          <w:szCs w:val="20"/>
        </w:rPr>
        <w:t xml:space="preserve"> em água.</w:t>
      </w:r>
      <w:r>
        <w:rPr>
          <w:rFonts w:cs="Arial"/>
          <w:szCs w:val="20"/>
        </w:rPr>
        <w:t xml:space="preserve"> Entretanto, o</w:t>
      </w:r>
      <w:r w:rsidRPr="00604D09">
        <w:rPr>
          <w:rFonts w:cs="Arial"/>
          <w:szCs w:val="20"/>
        </w:rPr>
        <w:t xml:space="preserve"> monitoramento desses compostos </w:t>
      </w:r>
      <w:r>
        <w:rPr>
          <w:rFonts w:cs="Arial"/>
          <w:szCs w:val="20"/>
        </w:rPr>
        <w:t>é</w:t>
      </w:r>
      <w:r w:rsidRPr="00604D09">
        <w:rPr>
          <w:rFonts w:cs="Arial"/>
          <w:szCs w:val="20"/>
        </w:rPr>
        <w:t xml:space="preserve"> de fundamental importância, visto que eles apresentam</w:t>
      </w:r>
      <w:r>
        <w:rPr>
          <w:rFonts w:cs="Arial"/>
          <w:szCs w:val="20"/>
        </w:rPr>
        <w:t xml:space="preserve"> </w:t>
      </w:r>
      <w:r w:rsidRPr="00604D09">
        <w:rPr>
          <w:rFonts w:cs="Arial"/>
          <w:szCs w:val="20"/>
        </w:rPr>
        <w:t>estabilidade química em água e sedimentos,</w:t>
      </w:r>
      <w:r>
        <w:rPr>
          <w:rFonts w:cs="Arial"/>
          <w:szCs w:val="20"/>
        </w:rPr>
        <w:t xml:space="preserve"> e podem</w:t>
      </w:r>
      <w:r w:rsidRPr="00604D09">
        <w:rPr>
          <w:rFonts w:cs="Arial"/>
          <w:szCs w:val="20"/>
        </w:rPr>
        <w:t xml:space="preserve"> </w:t>
      </w:r>
      <w:r>
        <w:rPr>
          <w:rFonts w:cs="Arial"/>
          <w:szCs w:val="20"/>
        </w:rPr>
        <w:t>ser</w:t>
      </w:r>
      <w:r w:rsidRPr="00604D09">
        <w:rPr>
          <w:rFonts w:cs="Arial"/>
          <w:szCs w:val="20"/>
        </w:rPr>
        <w:t xml:space="preserve"> utilizados como biomarcadores e indicadores de poluição de </w:t>
      </w:r>
      <w:r>
        <w:rPr>
          <w:rFonts w:cs="Arial"/>
          <w:szCs w:val="20"/>
        </w:rPr>
        <w:t>origem doméstica</w:t>
      </w:r>
      <w:r w:rsidRPr="00604D09">
        <w:rPr>
          <w:rFonts w:cs="Arial"/>
          <w:szCs w:val="20"/>
        </w:rPr>
        <w:t xml:space="preserve">. </w:t>
      </w:r>
    </w:p>
    <w:p w14:paraId="14098481" w14:textId="77260AF3" w:rsidR="00EC0C73" w:rsidRPr="006C61B2" w:rsidRDefault="00EC0C73" w:rsidP="00EC0C73">
      <w:pPr>
        <w:pStyle w:val="Ttulo3"/>
      </w:pPr>
      <w:bookmarkStart w:id="91" w:name="_Toc46992124"/>
      <w:r w:rsidRPr="006C61B2">
        <w:lastRenderedPageBreak/>
        <w:t>Fenóis</w:t>
      </w:r>
      <w:bookmarkEnd w:id="91"/>
    </w:p>
    <w:p w14:paraId="4C2CFA28" w14:textId="77777777" w:rsidR="00EC0C73" w:rsidRPr="00C828CF" w:rsidRDefault="00EC0C73" w:rsidP="00EC0C73">
      <w:pPr>
        <w:ind w:firstLine="708"/>
        <w:rPr>
          <w:rFonts w:cs="Arial"/>
          <w:szCs w:val="20"/>
        </w:rPr>
      </w:pPr>
      <w:r w:rsidRPr="00C828CF">
        <w:rPr>
          <w:rFonts w:cs="Arial"/>
          <w:szCs w:val="20"/>
        </w:rPr>
        <w:t>Analis</w:t>
      </w:r>
      <w:r>
        <w:rPr>
          <w:rFonts w:cs="Arial"/>
          <w:szCs w:val="20"/>
        </w:rPr>
        <w:t>aram-</w:t>
      </w:r>
      <w:r w:rsidRPr="00C828CF">
        <w:rPr>
          <w:rFonts w:cs="Arial"/>
          <w:szCs w:val="20"/>
        </w:rPr>
        <w:t>se as amostras de água até a 16</w:t>
      </w:r>
      <w:r w:rsidRPr="006C61B2">
        <w:rPr>
          <w:rFonts w:cs="Arial"/>
          <w:szCs w:val="20"/>
          <w:vertAlign w:val="superscript"/>
        </w:rPr>
        <w:t>a</w:t>
      </w:r>
      <w:r w:rsidRPr="00C828CF">
        <w:rPr>
          <w:rFonts w:cs="Arial"/>
          <w:szCs w:val="20"/>
        </w:rPr>
        <w:t xml:space="preserve"> campanha, totalizando 264 amostras, das quais 68 são do ano de transição, conforme a metodologia de determinação de fenóis </w:t>
      </w:r>
      <w:r w:rsidRPr="004D4055">
        <w:rPr>
          <w:rFonts w:cs="Arial"/>
          <w:szCs w:val="20"/>
        </w:rPr>
        <w:t>proposta no Ano 1, posteriormente modificada.</w:t>
      </w:r>
      <w:r w:rsidRPr="00C828CF">
        <w:rPr>
          <w:rFonts w:cs="Arial"/>
          <w:szCs w:val="20"/>
        </w:rPr>
        <w:t xml:space="preserve"> No período de transição, </w:t>
      </w:r>
      <w:r>
        <w:rPr>
          <w:rFonts w:cs="Arial"/>
          <w:szCs w:val="20"/>
        </w:rPr>
        <w:t>avaliaram-se</w:t>
      </w:r>
      <w:r w:rsidRPr="00C828CF">
        <w:rPr>
          <w:rFonts w:cs="Arial"/>
          <w:szCs w:val="20"/>
        </w:rPr>
        <w:t xml:space="preserve"> os mesmos 21 compostos do ano 1, foram eles: 4-cloro-3-metilfenol, 2-Clorofenol, 2-Ciclohexil-4,6-Dinitrofenol, 2,4-Diclofenol, 2,6-Diclofenol, 2,4-Dimetilfenol, Dinoseb, 2,4-Dinitrofenol, 2-Metil-4,6-dinitrofenol, 2-Metilfenol, 3-Metilfenol, 4-Metilfenol, 2-Nitrofenol, 4-Nitrofenol, Pentaclorofenol, Fenol, 2,3,4,5-Tetraclorofenol, 2,3,4,6-Tetraclorofenol, 2,35,6-Tetraclorofenol, 2,4,5-Triclorofenol, 2,4,6-Triclorofenol.</w:t>
      </w:r>
    </w:p>
    <w:p w14:paraId="7485AF0D" w14:textId="634735E3" w:rsidR="00EC0C73" w:rsidRDefault="00EC0C73" w:rsidP="00EC0C73">
      <w:pPr>
        <w:rPr>
          <w:rFonts w:cs="Arial"/>
          <w:szCs w:val="20"/>
        </w:rPr>
      </w:pPr>
      <w:r>
        <w:rPr>
          <w:rFonts w:cs="Arial"/>
          <w:szCs w:val="20"/>
        </w:rPr>
        <w:tab/>
        <w:t xml:space="preserve">A </w:t>
      </w:r>
      <w:r w:rsidR="00712F61">
        <w:rPr>
          <w:rFonts w:cs="Arial"/>
          <w:color w:val="FF0000"/>
          <w:szCs w:val="20"/>
        </w:rPr>
        <w:fldChar w:fldCharType="begin"/>
      </w:r>
      <w:r w:rsidR="00712F61">
        <w:rPr>
          <w:rFonts w:cs="Arial"/>
          <w:szCs w:val="20"/>
        </w:rPr>
        <w:instrText xml:space="preserve"> REF _Ref42075639 \h </w:instrText>
      </w:r>
      <w:r w:rsidR="00712F61">
        <w:rPr>
          <w:rFonts w:cs="Arial"/>
          <w:color w:val="FF0000"/>
          <w:szCs w:val="20"/>
        </w:rPr>
      </w:r>
      <w:r w:rsidR="00712F61">
        <w:rPr>
          <w:rFonts w:cs="Arial"/>
          <w:color w:val="FF0000"/>
          <w:szCs w:val="20"/>
        </w:rPr>
        <w:fldChar w:fldCharType="separate"/>
      </w:r>
      <w:r w:rsidR="002C014F">
        <w:t xml:space="preserve">Figura </w:t>
      </w:r>
      <w:r w:rsidR="002C014F">
        <w:rPr>
          <w:noProof/>
        </w:rPr>
        <w:t>23</w:t>
      </w:r>
      <w:r w:rsidR="00712F61">
        <w:rPr>
          <w:rFonts w:cs="Arial"/>
          <w:color w:val="FF0000"/>
          <w:szCs w:val="20"/>
        </w:rPr>
        <w:fldChar w:fldCharType="end"/>
      </w:r>
      <w:r w:rsidR="00712F61">
        <w:rPr>
          <w:rFonts w:cs="Arial"/>
          <w:color w:val="FF0000"/>
          <w:szCs w:val="20"/>
        </w:rPr>
        <w:t xml:space="preserve"> </w:t>
      </w:r>
      <w:r w:rsidRPr="00C828CF">
        <w:rPr>
          <w:rFonts w:cs="Arial"/>
          <w:szCs w:val="20"/>
        </w:rPr>
        <w:t xml:space="preserve">apresenta o gráfico </w:t>
      </w:r>
      <w:r>
        <w:rPr>
          <w:rFonts w:cs="Arial"/>
          <w:szCs w:val="20"/>
        </w:rPr>
        <w:t>do tipo</w:t>
      </w:r>
      <w:r w:rsidRPr="00C828CF">
        <w:rPr>
          <w:rFonts w:cs="Arial"/>
          <w:szCs w:val="20"/>
        </w:rPr>
        <w:t xml:space="preserve"> box-</w:t>
      </w:r>
      <w:proofErr w:type="spellStart"/>
      <w:r w:rsidRPr="00C828CF">
        <w:rPr>
          <w:rFonts w:cs="Arial"/>
          <w:szCs w:val="20"/>
        </w:rPr>
        <w:t>plot</w:t>
      </w:r>
      <w:proofErr w:type="spellEnd"/>
      <w:r w:rsidRPr="00C828CF">
        <w:rPr>
          <w:rFonts w:cs="Arial"/>
          <w:szCs w:val="20"/>
        </w:rPr>
        <w:t xml:space="preserve"> para os fenóis totais (somatória dos 21 fenóis analisados) em água nos diferentes ambientes ao longo dos três períodos. Percebe-se que houve uma variação diferenciada para cada ambiente. No Rio Guandu e Lagoas houve uma diminuição do valor médio dos fenóis ao longo dos</w:t>
      </w:r>
      <w:r>
        <w:rPr>
          <w:rFonts w:cs="Arial"/>
          <w:szCs w:val="20"/>
        </w:rPr>
        <w:t xml:space="preserve"> três</w:t>
      </w:r>
      <w:r w:rsidRPr="00C828CF">
        <w:rPr>
          <w:rFonts w:cs="Arial"/>
          <w:szCs w:val="20"/>
        </w:rPr>
        <w:t xml:space="preserve"> períodos, sendo que o período de seca apresentou menor variabilidade no caso do ambiente Lagoas.  Já para o ambiente Rio Doce o valor mediano se manteve ao longo do Ano 1 e teve uma pequena diminuição no Ano de transição.</w:t>
      </w:r>
      <w:r>
        <w:rPr>
          <w:rFonts w:cs="Arial"/>
          <w:szCs w:val="20"/>
        </w:rPr>
        <w:t xml:space="preserve"> Lagos apresentaram menores valores medianos e variabilidades </w:t>
      </w:r>
      <w:r w:rsidRPr="00C828CF">
        <w:rPr>
          <w:rFonts w:cs="Arial"/>
          <w:szCs w:val="20"/>
        </w:rPr>
        <w:t xml:space="preserve">na estação </w:t>
      </w:r>
      <w:r>
        <w:rPr>
          <w:rFonts w:cs="Arial"/>
          <w:szCs w:val="20"/>
        </w:rPr>
        <w:t>seca, sendo que a estação chuvosa no período de transição apresentou menor valor mediano que o período chuvoso do ANO 1.</w:t>
      </w:r>
    </w:p>
    <w:p w14:paraId="47997810" w14:textId="7CE81E31" w:rsidR="00EC0C73" w:rsidRPr="00C828CF" w:rsidRDefault="00EC0C73" w:rsidP="00EC0C73">
      <w:pPr>
        <w:ind w:firstLine="708"/>
        <w:rPr>
          <w:rFonts w:cs="Arial"/>
          <w:szCs w:val="20"/>
        </w:rPr>
      </w:pPr>
      <w:r w:rsidRPr="00092652">
        <w:rPr>
          <w:rFonts w:cs="Arial"/>
          <w:szCs w:val="20"/>
        </w:rPr>
        <w:t xml:space="preserve">Avaliando-se espacialmente o Ano de transição ao longo dos ambientes, por meio </w:t>
      </w:r>
      <w:r w:rsidR="00CF3145">
        <w:rPr>
          <w:rFonts w:cs="Arial"/>
          <w:szCs w:val="20"/>
        </w:rPr>
        <w:t>dos resultados</w:t>
      </w:r>
      <w:r>
        <w:rPr>
          <w:rFonts w:cs="Arial"/>
          <w:szCs w:val="20"/>
        </w:rPr>
        <w:t xml:space="preserve"> apresentados na</w:t>
      </w:r>
      <w:r w:rsidRPr="00092652">
        <w:rPr>
          <w:rFonts w:cs="Arial"/>
          <w:szCs w:val="20"/>
        </w:rPr>
        <w:t xml:space="preserve"> </w:t>
      </w:r>
      <w:r w:rsidR="00712F61">
        <w:rPr>
          <w:rFonts w:cs="Arial"/>
          <w:color w:val="FF0000"/>
          <w:szCs w:val="20"/>
        </w:rPr>
        <w:fldChar w:fldCharType="begin"/>
      </w:r>
      <w:r w:rsidR="00712F61">
        <w:rPr>
          <w:rFonts w:cs="Arial"/>
          <w:szCs w:val="20"/>
        </w:rPr>
        <w:instrText xml:space="preserve"> REF _Ref42075639 \h </w:instrText>
      </w:r>
      <w:r w:rsidR="00712F61">
        <w:rPr>
          <w:rFonts w:cs="Arial"/>
          <w:color w:val="FF0000"/>
          <w:szCs w:val="20"/>
        </w:rPr>
      </w:r>
      <w:r w:rsidR="00712F61">
        <w:rPr>
          <w:rFonts w:cs="Arial"/>
          <w:color w:val="FF0000"/>
          <w:szCs w:val="20"/>
        </w:rPr>
        <w:fldChar w:fldCharType="separate"/>
      </w:r>
      <w:r w:rsidR="002C014F">
        <w:t xml:space="preserve">Figura </w:t>
      </w:r>
      <w:r w:rsidR="002C014F">
        <w:rPr>
          <w:noProof/>
        </w:rPr>
        <w:t>23</w:t>
      </w:r>
      <w:r w:rsidR="00712F61">
        <w:rPr>
          <w:rFonts w:cs="Arial"/>
          <w:color w:val="FF0000"/>
          <w:szCs w:val="20"/>
        </w:rPr>
        <w:fldChar w:fldCharType="end"/>
      </w:r>
      <w:r w:rsidRPr="00092652">
        <w:rPr>
          <w:rFonts w:cs="Arial"/>
          <w:szCs w:val="20"/>
        </w:rPr>
        <w:t>, verificou-se que o</w:t>
      </w:r>
      <w:r>
        <w:rPr>
          <w:rFonts w:cs="Arial"/>
          <w:szCs w:val="20"/>
        </w:rPr>
        <w:t>s</w:t>
      </w:r>
      <w:r w:rsidRPr="00092652">
        <w:rPr>
          <w:rFonts w:cs="Arial"/>
          <w:szCs w:val="20"/>
        </w:rPr>
        <w:t xml:space="preserve"> ambiente</w:t>
      </w:r>
      <w:r>
        <w:rPr>
          <w:rFonts w:cs="Arial"/>
          <w:szCs w:val="20"/>
        </w:rPr>
        <w:t>s</w:t>
      </w:r>
      <w:r w:rsidRPr="00092652">
        <w:rPr>
          <w:rFonts w:cs="Arial"/>
          <w:szCs w:val="20"/>
        </w:rPr>
        <w:t xml:space="preserve"> </w:t>
      </w:r>
      <w:r>
        <w:rPr>
          <w:rFonts w:cs="Arial"/>
          <w:szCs w:val="20"/>
        </w:rPr>
        <w:t>Lago</w:t>
      </w:r>
      <w:r w:rsidRPr="00092652">
        <w:rPr>
          <w:rFonts w:cs="Arial"/>
          <w:szCs w:val="20"/>
        </w:rPr>
        <w:t>s</w:t>
      </w:r>
      <w:r>
        <w:rPr>
          <w:rFonts w:cs="Arial"/>
          <w:szCs w:val="20"/>
        </w:rPr>
        <w:t xml:space="preserve"> e Rio Doce, respectivamente, </w:t>
      </w:r>
      <w:r w:rsidRPr="00092652">
        <w:rPr>
          <w:rFonts w:cs="Arial"/>
          <w:szCs w:val="20"/>
        </w:rPr>
        <w:t>apresent</w:t>
      </w:r>
      <w:r>
        <w:rPr>
          <w:rFonts w:cs="Arial"/>
          <w:szCs w:val="20"/>
        </w:rPr>
        <w:t>aram os maiores valores medianos de fenóis totais.</w:t>
      </w:r>
    </w:p>
    <w:p w14:paraId="659FDED8" w14:textId="77777777" w:rsidR="00EC0C73" w:rsidRDefault="00EC0C73" w:rsidP="00EC0C73">
      <w:pPr>
        <w:rPr>
          <w:iCs/>
          <w:sz w:val="16"/>
          <w:szCs w:val="18"/>
        </w:rPr>
      </w:pPr>
      <w:r>
        <w:br w:type="page"/>
      </w:r>
    </w:p>
    <w:p w14:paraId="4134E6ED" w14:textId="253AA645" w:rsidR="00EC0C73" w:rsidRDefault="00EC0C73" w:rsidP="00EC0C73">
      <w:pPr>
        <w:pStyle w:val="Legenda"/>
        <w:keepNext/>
        <w:rPr>
          <w:noProof/>
          <w:lang w:eastAsia="pt-BR"/>
        </w:rPr>
      </w:pPr>
      <w:bookmarkStart w:id="92" w:name="_Ref42075639"/>
      <w:bookmarkStart w:id="93" w:name="_Toc46992157"/>
      <w:r>
        <w:lastRenderedPageBreak/>
        <w:t xml:space="preserve">Figura </w:t>
      </w:r>
      <w:fldSimple w:instr=" SEQ Figura \* ARABIC ">
        <w:r w:rsidR="002C014F">
          <w:rPr>
            <w:noProof/>
          </w:rPr>
          <w:t>23</w:t>
        </w:r>
      </w:fldSimple>
      <w:bookmarkEnd w:id="92"/>
      <w:r>
        <w:t xml:space="preserve"> - </w:t>
      </w:r>
      <w:r w:rsidRPr="000C2FC7">
        <w:t xml:space="preserve">Variabilidade das concentrações de diferentes </w:t>
      </w:r>
      <w:r>
        <w:t xml:space="preserve">Fenóis nas 268 amostras de água analisadas das 12 estações de coleta, agrupadas por nos ambientes Rio Guandu, Rio Doce, Lagos e Lagoas ao longo dos períodos out/18 a mar/2019 (período chuvoso- ANO 1), </w:t>
      </w:r>
      <w:proofErr w:type="spellStart"/>
      <w:r>
        <w:t>abr</w:t>
      </w:r>
      <w:proofErr w:type="spellEnd"/>
      <w:r>
        <w:t xml:space="preserve">/19 a set/2019 (período de estiagem- ANO 1) e </w:t>
      </w:r>
      <w:proofErr w:type="spellStart"/>
      <w:r>
        <w:t>nov</w:t>
      </w:r>
      <w:proofErr w:type="spellEnd"/>
      <w:r>
        <w:t xml:space="preserve">/19 a </w:t>
      </w:r>
      <w:proofErr w:type="spellStart"/>
      <w:r>
        <w:t>fev</w:t>
      </w:r>
      <w:proofErr w:type="spellEnd"/>
      <w:r>
        <w:t>/2020 (período chuvoso- ANO de transição).</w:t>
      </w:r>
      <w:bookmarkEnd w:id="93"/>
      <w:r w:rsidRPr="00525022">
        <w:rPr>
          <w:noProof/>
          <w:lang w:eastAsia="pt-BR"/>
        </w:rPr>
        <w:t xml:space="preserve"> </w:t>
      </w:r>
    </w:p>
    <w:p w14:paraId="258BDF80" w14:textId="77777777" w:rsidR="00EC0C73" w:rsidRDefault="00EC0C73" w:rsidP="00EC0C73">
      <w:pPr>
        <w:pStyle w:val="Legenda"/>
        <w:keepNext/>
        <w:rPr>
          <w:noProof/>
          <w:lang w:eastAsia="pt-BR"/>
        </w:rPr>
      </w:pPr>
      <w:r>
        <w:rPr>
          <w:noProof/>
          <w:lang w:eastAsia="pt-BR"/>
        </w:rPr>
        <w:drawing>
          <wp:inline distT="0" distB="0" distL="0" distR="0" wp14:anchorId="463AB317" wp14:editId="54F55524">
            <wp:extent cx="3379623" cy="6451506"/>
            <wp:effectExtent l="0" t="0" r="0" b="6985"/>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390637" cy="6472531"/>
                    </a:xfrm>
                    <a:prstGeom prst="rect">
                      <a:avLst/>
                    </a:prstGeom>
                    <a:noFill/>
                    <a:ln>
                      <a:noFill/>
                    </a:ln>
                  </pic:spPr>
                </pic:pic>
              </a:graphicData>
            </a:graphic>
          </wp:inline>
        </w:drawing>
      </w:r>
    </w:p>
    <w:p w14:paraId="0209FD55" w14:textId="77777777" w:rsidR="00EC0C73" w:rsidRPr="00053415" w:rsidRDefault="00EC0C73" w:rsidP="00EC0C73">
      <w:pPr>
        <w:ind w:firstLine="708"/>
        <w:rPr>
          <w:rFonts w:cs="Arial"/>
          <w:szCs w:val="20"/>
        </w:rPr>
      </w:pPr>
      <w:r w:rsidRPr="00053415">
        <w:rPr>
          <w:rFonts w:cs="Arial"/>
          <w:szCs w:val="20"/>
        </w:rPr>
        <w:t xml:space="preserve">Avaliar a distribuição dos fenóis é extremamente importante para </w:t>
      </w:r>
      <w:r>
        <w:rPr>
          <w:rFonts w:cs="Arial"/>
          <w:szCs w:val="20"/>
        </w:rPr>
        <w:t>identificar</w:t>
      </w:r>
      <w:r w:rsidRPr="00053415">
        <w:rPr>
          <w:rFonts w:cs="Arial"/>
          <w:szCs w:val="20"/>
        </w:rPr>
        <w:t xml:space="preserve"> se esses estão vindo de fontes industriais ou agrícolas. O fenol e os cresóis (2-Metilfenol, 3-Metilfenol, 4-Metilfenol), por exemplo, apresentam uma ampla aplicação industrial como precursor de muitas substâncias químicas, entre elas est</w:t>
      </w:r>
      <w:r>
        <w:rPr>
          <w:rFonts w:cs="Arial"/>
          <w:szCs w:val="20"/>
        </w:rPr>
        <w:t>á</w:t>
      </w:r>
      <w:r w:rsidRPr="00053415">
        <w:rPr>
          <w:rFonts w:cs="Arial"/>
          <w:szCs w:val="20"/>
        </w:rPr>
        <w:t xml:space="preserve"> a preparação de resinas</w:t>
      </w:r>
      <w:r>
        <w:rPr>
          <w:rFonts w:cs="Arial"/>
          <w:szCs w:val="20"/>
        </w:rPr>
        <w:t xml:space="preserve"> e</w:t>
      </w:r>
      <w:r w:rsidRPr="00053415">
        <w:rPr>
          <w:rFonts w:cs="Arial"/>
          <w:szCs w:val="20"/>
        </w:rPr>
        <w:t xml:space="preserve"> polímeros, síntese de medicamentos, preparação de explosivos</w:t>
      </w:r>
      <w:r>
        <w:rPr>
          <w:rFonts w:cs="Arial"/>
          <w:szCs w:val="20"/>
        </w:rPr>
        <w:t xml:space="preserve"> e</w:t>
      </w:r>
      <w:r w:rsidRPr="00053415">
        <w:rPr>
          <w:rFonts w:cs="Arial"/>
          <w:szCs w:val="20"/>
        </w:rPr>
        <w:t xml:space="preserve"> catalisadores. Já os </w:t>
      </w:r>
      <w:proofErr w:type="spellStart"/>
      <w:r w:rsidRPr="00053415">
        <w:rPr>
          <w:rFonts w:cs="Arial"/>
          <w:szCs w:val="20"/>
        </w:rPr>
        <w:t>nitrofenóis</w:t>
      </w:r>
      <w:proofErr w:type="spellEnd"/>
      <w:r w:rsidRPr="00053415">
        <w:rPr>
          <w:rFonts w:cs="Arial"/>
          <w:szCs w:val="20"/>
        </w:rPr>
        <w:t xml:space="preserve"> são usados na fabricação de tintas, adesivos, explosivos, pesticidas e produtos farmacêuticos. </w:t>
      </w:r>
      <w:proofErr w:type="spellStart"/>
      <w:r w:rsidRPr="00053415">
        <w:rPr>
          <w:rFonts w:cs="Arial"/>
          <w:szCs w:val="20"/>
        </w:rPr>
        <w:t>Nitrofenóis</w:t>
      </w:r>
      <w:proofErr w:type="spellEnd"/>
      <w:r w:rsidRPr="00053415">
        <w:rPr>
          <w:rFonts w:cs="Arial"/>
          <w:szCs w:val="20"/>
        </w:rPr>
        <w:t xml:space="preserve"> avaliados e suas fontes: 2,4-Dinitrofenol </w:t>
      </w:r>
      <w:r w:rsidRPr="00053415">
        <w:rPr>
          <w:rFonts w:cs="Arial"/>
          <w:szCs w:val="20"/>
        </w:rPr>
        <w:lastRenderedPageBreak/>
        <w:t>(</w:t>
      </w:r>
      <w:r w:rsidRPr="00053415">
        <w:rPr>
          <w:rFonts w:eastAsia="Times New Roman" w:cs="Arial"/>
          <w:szCs w:val="20"/>
          <w:lang w:eastAsia="pt-BR"/>
        </w:rPr>
        <w:t xml:space="preserve">fabricação de tintas, conservantes de madeira, herbicidas, pesticidas e explosivos); </w:t>
      </w:r>
      <w:r w:rsidRPr="00053415">
        <w:rPr>
          <w:rFonts w:cs="Arial"/>
          <w:szCs w:val="20"/>
        </w:rPr>
        <w:t xml:space="preserve">Dinoseb, 2-Ciclohexil-4,6-Dinitrofenol, 2-Metil-4,6-dinitrofenol (herbicidas da família no 2,4 </w:t>
      </w:r>
      <w:r>
        <w:rPr>
          <w:rFonts w:cs="Arial"/>
          <w:szCs w:val="20"/>
        </w:rPr>
        <w:t>d</w:t>
      </w:r>
      <w:r w:rsidRPr="00053415">
        <w:rPr>
          <w:rFonts w:cs="Arial"/>
          <w:szCs w:val="20"/>
        </w:rPr>
        <w:t>initrofenol), 2-Nitrofenol, 4-Nitrofenol (precursor de herbicida).</w:t>
      </w:r>
    </w:p>
    <w:p w14:paraId="54485276" w14:textId="4ED20A5F" w:rsidR="00EC0C73" w:rsidRDefault="00EC0C73" w:rsidP="00EC0C73">
      <w:pPr>
        <w:ind w:firstLine="708"/>
        <w:rPr>
          <w:rFonts w:cs="Arial"/>
          <w:szCs w:val="20"/>
        </w:rPr>
      </w:pPr>
      <w:r w:rsidRPr="00053415">
        <w:rPr>
          <w:rFonts w:cs="Arial"/>
          <w:szCs w:val="20"/>
        </w:rPr>
        <w:t xml:space="preserve">Os </w:t>
      </w:r>
      <w:proofErr w:type="spellStart"/>
      <w:r w:rsidRPr="00053415">
        <w:rPr>
          <w:rFonts w:cs="Arial"/>
          <w:szCs w:val="20"/>
        </w:rPr>
        <w:t>clorofenóis</w:t>
      </w:r>
      <w:proofErr w:type="spellEnd"/>
      <w:r w:rsidRPr="00053415">
        <w:rPr>
          <w:rFonts w:cs="Arial"/>
          <w:szCs w:val="20"/>
        </w:rPr>
        <w:t xml:space="preserve"> são compostos presentes na maioria dos efluentes industriais provenientes principalmente das indústrias de papel e têxtil. </w:t>
      </w:r>
      <w:proofErr w:type="spellStart"/>
      <w:r w:rsidRPr="00053415">
        <w:rPr>
          <w:rFonts w:cs="Arial"/>
          <w:szCs w:val="20"/>
        </w:rPr>
        <w:t>Clorofenóis</w:t>
      </w:r>
      <w:proofErr w:type="spellEnd"/>
      <w:r w:rsidRPr="00053415">
        <w:rPr>
          <w:rFonts w:cs="Arial"/>
          <w:szCs w:val="20"/>
        </w:rPr>
        <w:t xml:space="preserve"> avaliados e suas fontes são: 4-cloro-3-metilfenol (antisséptico e conservante); 2-Clorofenol (desinfetante); 2,4-Diclofenol, 2,6-Diclofenol, 2,4-Dimetilfenol (precursor </w:t>
      </w:r>
      <w:proofErr w:type="spellStart"/>
      <w:r>
        <w:rPr>
          <w:rFonts w:cs="Arial"/>
          <w:szCs w:val="20"/>
        </w:rPr>
        <w:t>di</w:t>
      </w:r>
      <w:proofErr w:type="spellEnd"/>
      <w:r>
        <w:rPr>
          <w:rFonts w:cs="Arial"/>
          <w:szCs w:val="20"/>
        </w:rPr>
        <w:t xml:space="preserve"> herbicida </w:t>
      </w:r>
      <w:hyperlink r:id="rId49" w:tooltip="2,4-dichlorophenoxyacetic acid" w:history="1">
        <w:r w:rsidRPr="00053415">
          <w:rPr>
            <w:rFonts w:cs="Arial"/>
            <w:szCs w:val="20"/>
          </w:rPr>
          <w:t>2,4-</w:t>
        </w:r>
        <w:r>
          <w:rPr>
            <w:rFonts w:cs="Arial"/>
            <w:szCs w:val="20"/>
          </w:rPr>
          <w:t xml:space="preserve"> ácido </w:t>
        </w:r>
        <w:proofErr w:type="spellStart"/>
        <w:r>
          <w:rPr>
            <w:rFonts w:cs="Arial"/>
            <w:szCs w:val="20"/>
          </w:rPr>
          <w:t>dicloro</w:t>
        </w:r>
        <w:proofErr w:type="spellEnd"/>
        <w:r>
          <w:rPr>
            <w:rFonts w:cs="Arial"/>
            <w:szCs w:val="20"/>
          </w:rPr>
          <w:t xml:space="preserve"> acético</w:t>
        </w:r>
      </w:hyperlink>
      <w:r w:rsidRPr="00053415">
        <w:rPr>
          <w:rFonts w:cs="Arial"/>
          <w:szCs w:val="20"/>
        </w:rPr>
        <w:t>); Pentaclorofenol (</w:t>
      </w:r>
      <w:r w:rsidRPr="00053415">
        <w:rPr>
          <w:rFonts w:cs="Arial"/>
          <w:szCs w:val="20"/>
          <w:shd w:val="clear" w:color="auto" w:fill="FFFFFF"/>
        </w:rPr>
        <w:t xml:space="preserve">fungicida, inseticida, bactericida e </w:t>
      </w:r>
      <w:proofErr w:type="spellStart"/>
      <w:r w:rsidRPr="00053415">
        <w:rPr>
          <w:rFonts w:cs="Arial"/>
          <w:szCs w:val="20"/>
          <w:shd w:val="clear" w:color="auto" w:fill="FFFFFF"/>
        </w:rPr>
        <w:t>moluscocida</w:t>
      </w:r>
      <w:proofErr w:type="spellEnd"/>
      <w:r w:rsidRPr="00053415">
        <w:rPr>
          <w:rFonts w:cs="Arial"/>
          <w:szCs w:val="20"/>
          <w:shd w:val="clear" w:color="auto" w:fill="FFFFFF"/>
        </w:rPr>
        <w:t xml:space="preserve"> sintético);</w:t>
      </w:r>
      <w:r w:rsidRPr="00053415">
        <w:rPr>
          <w:rFonts w:cs="Arial"/>
          <w:szCs w:val="20"/>
        </w:rPr>
        <w:t xml:space="preserve"> 2,3,4,5-Tetraclorofenol, 2,3,4,6-Tetraclorofenol, 2,3,5,6-Tetraclorofenol, 2,4,5-Triclorofenol, 2,4,6-Triclorofenol (</w:t>
      </w:r>
      <w:hyperlink r:id="rId50" w:tooltip="Fungicida" w:history="1">
        <w:r w:rsidRPr="00053415">
          <w:rPr>
            <w:rFonts w:eastAsia="Times New Roman" w:cs="Arial"/>
            <w:szCs w:val="20"/>
          </w:rPr>
          <w:t>fungicida</w:t>
        </w:r>
      </w:hyperlink>
      <w:r w:rsidRPr="00053415">
        <w:rPr>
          <w:rFonts w:cs="Arial"/>
          <w:szCs w:val="20"/>
        </w:rPr>
        <w:t>,</w:t>
      </w:r>
      <w:r>
        <w:rPr>
          <w:rFonts w:cs="Arial"/>
          <w:szCs w:val="20"/>
        </w:rPr>
        <w:t xml:space="preserve"> </w:t>
      </w:r>
      <w:hyperlink r:id="rId51" w:tooltip="Herbicida" w:history="1">
        <w:r w:rsidRPr="00053415">
          <w:rPr>
            <w:rFonts w:eastAsia="Times New Roman" w:cs="Arial"/>
            <w:szCs w:val="20"/>
          </w:rPr>
          <w:t>herbicida</w:t>
        </w:r>
      </w:hyperlink>
      <w:r w:rsidRPr="00053415">
        <w:rPr>
          <w:rFonts w:cs="Arial"/>
          <w:szCs w:val="20"/>
        </w:rPr>
        <w:t xml:space="preserve">, </w:t>
      </w:r>
      <w:hyperlink r:id="rId52" w:tooltip="Inseticida" w:history="1">
        <w:r w:rsidRPr="00053415">
          <w:rPr>
            <w:rFonts w:eastAsia="Times New Roman" w:cs="Arial"/>
            <w:szCs w:val="20"/>
          </w:rPr>
          <w:t>inseticida</w:t>
        </w:r>
      </w:hyperlink>
      <w:r w:rsidRPr="00053415">
        <w:rPr>
          <w:rFonts w:cs="Arial"/>
          <w:szCs w:val="20"/>
        </w:rPr>
        <w:t xml:space="preserve"> e </w:t>
      </w:r>
      <w:hyperlink r:id="rId53" w:tooltip="Antisséptico" w:history="1">
        <w:r w:rsidRPr="00053415">
          <w:rPr>
            <w:rFonts w:eastAsia="Times New Roman" w:cs="Arial"/>
            <w:szCs w:val="20"/>
          </w:rPr>
          <w:t>antisséptico</w:t>
        </w:r>
      </w:hyperlink>
      <w:r w:rsidRPr="00053415">
        <w:rPr>
          <w:rFonts w:cs="Arial"/>
          <w:szCs w:val="20"/>
        </w:rPr>
        <w:t>).</w:t>
      </w:r>
    </w:p>
    <w:p w14:paraId="759055A1" w14:textId="442BBED6" w:rsidR="00EC0C73" w:rsidRPr="00EF629C" w:rsidRDefault="00EC0C73" w:rsidP="00EC0C73">
      <w:pPr>
        <w:pStyle w:val="NormalWeb"/>
        <w:shd w:val="clear" w:color="auto" w:fill="FFFFFF"/>
        <w:spacing w:before="120" w:beforeAutospacing="0" w:after="120" w:afterAutospacing="0" w:line="360" w:lineRule="auto"/>
        <w:ind w:firstLine="708"/>
        <w:jc w:val="both"/>
        <w:rPr>
          <w:rFonts w:ascii="Arial" w:hAnsi="Arial" w:cs="Arial"/>
          <w:sz w:val="20"/>
          <w:szCs w:val="20"/>
        </w:rPr>
      </w:pPr>
      <w:r w:rsidRPr="00EF629C">
        <w:rPr>
          <w:rFonts w:ascii="Arial" w:hAnsi="Arial" w:cs="Arial"/>
          <w:sz w:val="20"/>
          <w:szCs w:val="20"/>
        </w:rPr>
        <w:t xml:space="preserve">Assim, utilizaram-se os fenóis como biomarcadores para avaliar e distinguir diferentes fontes de contaminação por indústrias e atividades agrícolas. Verificou-se, por meio da </w:t>
      </w:r>
      <w:r w:rsidR="00EF629C" w:rsidRPr="00EF629C">
        <w:rPr>
          <w:rFonts w:ascii="Arial" w:hAnsi="Arial" w:cs="Arial"/>
          <w:color w:val="FF0000"/>
          <w:sz w:val="20"/>
          <w:szCs w:val="20"/>
        </w:rPr>
        <w:fldChar w:fldCharType="begin"/>
      </w:r>
      <w:r w:rsidR="00EF629C" w:rsidRPr="00EF629C">
        <w:rPr>
          <w:rFonts w:ascii="Arial" w:hAnsi="Arial" w:cs="Arial"/>
          <w:sz w:val="20"/>
          <w:szCs w:val="20"/>
        </w:rPr>
        <w:instrText xml:space="preserve"> REF _Ref42075824 \h </w:instrText>
      </w:r>
      <w:r w:rsidR="00EF629C" w:rsidRPr="00EF629C">
        <w:rPr>
          <w:rFonts w:ascii="Arial" w:hAnsi="Arial" w:cs="Arial"/>
          <w:color w:val="FF0000"/>
          <w:sz w:val="20"/>
          <w:szCs w:val="20"/>
        </w:rPr>
        <w:instrText xml:space="preserve"> \* MERGEFORMAT </w:instrText>
      </w:r>
      <w:r w:rsidR="00EF629C" w:rsidRPr="00EF629C">
        <w:rPr>
          <w:rFonts w:ascii="Arial" w:hAnsi="Arial" w:cs="Arial"/>
          <w:color w:val="FF0000"/>
          <w:sz w:val="20"/>
          <w:szCs w:val="20"/>
        </w:rPr>
      </w:r>
      <w:r w:rsidR="00EF629C" w:rsidRPr="00EF629C">
        <w:rPr>
          <w:rFonts w:ascii="Arial" w:hAnsi="Arial" w:cs="Arial"/>
          <w:color w:val="FF0000"/>
          <w:sz w:val="20"/>
          <w:szCs w:val="20"/>
        </w:rPr>
        <w:fldChar w:fldCharType="separate"/>
      </w:r>
      <w:r w:rsidR="002C014F" w:rsidRPr="002C014F">
        <w:rPr>
          <w:rFonts w:ascii="Arial" w:hAnsi="Arial" w:cs="Arial"/>
          <w:sz w:val="20"/>
          <w:szCs w:val="20"/>
        </w:rPr>
        <w:t xml:space="preserve">Figura </w:t>
      </w:r>
      <w:r w:rsidR="002C014F" w:rsidRPr="002C014F">
        <w:rPr>
          <w:rFonts w:ascii="Arial" w:hAnsi="Arial" w:cs="Arial"/>
          <w:noProof/>
          <w:sz w:val="20"/>
          <w:szCs w:val="20"/>
        </w:rPr>
        <w:t>24</w:t>
      </w:r>
      <w:r w:rsidR="00EF629C" w:rsidRPr="00EF629C">
        <w:rPr>
          <w:rFonts w:ascii="Arial" w:hAnsi="Arial" w:cs="Arial"/>
          <w:color w:val="FF0000"/>
          <w:sz w:val="20"/>
          <w:szCs w:val="20"/>
        </w:rPr>
        <w:fldChar w:fldCharType="end"/>
      </w:r>
      <w:r w:rsidRPr="00EF629C">
        <w:rPr>
          <w:rFonts w:ascii="Arial" w:hAnsi="Arial" w:cs="Arial"/>
          <w:sz w:val="20"/>
          <w:szCs w:val="20"/>
        </w:rPr>
        <w:t xml:space="preserve">, que no ano de transição, a distribuição de fenóis em todos os ambientes comportou-se de forma similar, apresentando as maiores variabilidades e valores medianos de concentrações, respectivamente, para os compostos: 2,4 Dinitrofenol, utilizado na fabricação de tintas, conservantes de madeira, herbicidas, pesticidas e explosivos; 2-Ciclohexil-4,6-dinitrofenol, precursor de herbicida; Dinoseb, herbicida da família dinitrofenol proibido na União </w:t>
      </w:r>
      <w:proofErr w:type="spellStart"/>
      <w:r w:rsidRPr="00EF629C">
        <w:rPr>
          <w:rFonts w:ascii="Arial" w:hAnsi="Arial" w:cs="Arial"/>
          <w:sz w:val="20"/>
          <w:szCs w:val="20"/>
        </w:rPr>
        <w:t>Européia</w:t>
      </w:r>
      <w:proofErr w:type="spellEnd"/>
      <w:r w:rsidRPr="00EF629C">
        <w:rPr>
          <w:rFonts w:ascii="Arial" w:hAnsi="Arial" w:cs="Arial"/>
          <w:sz w:val="20"/>
          <w:szCs w:val="20"/>
        </w:rPr>
        <w:t xml:space="preserve">; 2,3,4,6-Tetraclorofenol e 2,3,5,6-Tetraclorofenol, usados como </w:t>
      </w:r>
      <w:hyperlink r:id="rId54" w:tooltip="Fungicida" w:history="1">
        <w:r w:rsidRPr="00EF629C">
          <w:rPr>
            <w:rFonts w:ascii="Arial" w:hAnsi="Arial" w:cs="Arial"/>
            <w:sz w:val="20"/>
            <w:szCs w:val="20"/>
          </w:rPr>
          <w:t>fungicida</w:t>
        </w:r>
      </w:hyperlink>
      <w:r w:rsidRPr="00EF629C">
        <w:rPr>
          <w:rFonts w:ascii="Arial" w:hAnsi="Arial" w:cs="Arial"/>
          <w:sz w:val="20"/>
          <w:szCs w:val="20"/>
        </w:rPr>
        <w:t xml:space="preserve">, </w:t>
      </w:r>
      <w:hyperlink r:id="rId55" w:tooltip="Herbicida" w:history="1">
        <w:r w:rsidRPr="00EF629C">
          <w:rPr>
            <w:rFonts w:ascii="Arial" w:hAnsi="Arial" w:cs="Arial"/>
            <w:sz w:val="20"/>
            <w:szCs w:val="20"/>
          </w:rPr>
          <w:t>herbicida</w:t>
        </w:r>
      </w:hyperlink>
      <w:r w:rsidRPr="00EF629C">
        <w:rPr>
          <w:rFonts w:ascii="Arial" w:hAnsi="Arial" w:cs="Arial"/>
          <w:sz w:val="20"/>
          <w:szCs w:val="20"/>
        </w:rPr>
        <w:t xml:space="preserve">, </w:t>
      </w:r>
      <w:hyperlink r:id="rId56" w:tooltip="Inseticida" w:history="1">
        <w:r w:rsidRPr="00EF629C">
          <w:rPr>
            <w:rFonts w:ascii="Arial" w:hAnsi="Arial" w:cs="Arial"/>
            <w:sz w:val="20"/>
            <w:szCs w:val="20"/>
          </w:rPr>
          <w:t>inseticida</w:t>
        </w:r>
      </w:hyperlink>
      <w:r w:rsidRPr="00EF629C">
        <w:rPr>
          <w:rFonts w:ascii="Arial" w:hAnsi="Arial" w:cs="Arial"/>
          <w:sz w:val="20"/>
          <w:szCs w:val="20"/>
        </w:rPr>
        <w:t xml:space="preserve"> e </w:t>
      </w:r>
      <w:hyperlink r:id="rId57" w:tooltip="Antisséptico" w:history="1">
        <w:r w:rsidRPr="00EF629C">
          <w:rPr>
            <w:rFonts w:ascii="Arial" w:hAnsi="Arial" w:cs="Arial"/>
            <w:sz w:val="20"/>
            <w:szCs w:val="20"/>
          </w:rPr>
          <w:t>antisséptico</w:t>
        </w:r>
      </w:hyperlink>
      <w:r w:rsidRPr="00EF629C">
        <w:rPr>
          <w:rFonts w:ascii="Arial" w:hAnsi="Arial" w:cs="Arial"/>
          <w:sz w:val="20"/>
          <w:szCs w:val="20"/>
        </w:rPr>
        <w:t xml:space="preserve"> e 2-Metil-4,6-dinitrofenol que é um herbicida. </w:t>
      </w:r>
    </w:p>
    <w:p w14:paraId="3D31ED63" w14:textId="06C668E7" w:rsidR="00EC0C73" w:rsidRDefault="00EC0C73" w:rsidP="00EC0C73">
      <w:pPr>
        <w:pStyle w:val="Legenda"/>
        <w:keepNext/>
        <w:rPr>
          <w:noProof/>
          <w:lang w:eastAsia="pt-BR"/>
        </w:rPr>
      </w:pPr>
      <w:bookmarkStart w:id="94" w:name="_Ref42075824"/>
      <w:bookmarkStart w:id="95" w:name="_Toc46992158"/>
      <w:r>
        <w:lastRenderedPageBreak/>
        <w:t xml:space="preserve">Figura </w:t>
      </w:r>
      <w:fldSimple w:instr=" SEQ Figura \* ARABIC ">
        <w:r w:rsidR="002C014F">
          <w:rPr>
            <w:noProof/>
          </w:rPr>
          <w:t>24</w:t>
        </w:r>
      </w:fldSimple>
      <w:bookmarkEnd w:id="94"/>
      <w:r>
        <w:t xml:space="preserve"> - Variabilidade das concentrações de diferentes fenóis nas 68 amostras de água analisadas no período de transição (</w:t>
      </w:r>
      <w:proofErr w:type="spellStart"/>
      <w:r>
        <w:t>nov</w:t>
      </w:r>
      <w:proofErr w:type="spellEnd"/>
      <w:r>
        <w:t xml:space="preserve">/2019 a </w:t>
      </w:r>
      <w:proofErr w:type="spellStart"/>
      <w:r>
        <w:t>fev</w:t>
      </w:r>
      <w:proofErr w:type="spellEnd"/>
      <w:r>
        <w:t xml:space="preserve">/2020) em diferentes ambientes (Rio </w:t>
      </w:r>
      <w:proofErr w:type="spellStart"/>
      <w:r>
        <w:t>Guandú</w:t>
      </w:r>
      <w:proofErr w:type="spellEnd"/>
      <w:r>
        <w:t>, Rio Doce, Lagos e Lagoas).</w:t>
      </w:r>
      <w:bookmarkEnd w:id="95"/>
    </w:p>
    <w:p w14:paraId="3F6CB805" w14:textId="77777777" w:rsidR="00EC0C73" w:rsidRPr="005C0D01" w:rsidRDefault="00EC0C73" w:rsidP="00EC0C73">
      <w:pPr>
        <w:jc w:val="center"/>
        <w:rPr>
          <w:lang w:eastAsia="pt-BR"/>
        </w:rPr>
      </w:pPr>
      <w:r w:rsidRPr="005E3C7D">
        <w:rPr>
          <w:noProof/>
          <w:lang w:eastAsia="pt-BR"/>
        </w:rPr>
        <w:drawing>
          <wp:inline distT="0" distB="0" distL="0" distR="0" wp14:anchorId="62D03379" wp14:editId="2B0021CF">
            <wp:extent cx="4127312" cy="6840000"/>
            <wp:effectExtent l="0" t="0" r="6985" b="0"/>
            <wp:docPr id="101" name="Imagem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27312" cy="6840000"/>
                    </a:xfrm>
                    <a:prstGeom prst="rect">
                      <a:avLst/>
                    </a:prstGeom>
                    <a:noFill/>
                    <a:ln>
                      <a:noFill/>
                    </a:ln>
                  </pic:spPr>
                </pic:pic>
              </a:graphicData>
            </a:graphic>
          </wp:inline>
        </w:drawing>
      </w:r>
    </w:p>
    <w:p w14:paraId="48DC757A" w14:textId="65C8C2CB" w:rsidR="00EC0C73" w:rsidRDefault="00EC0C73" w:rsidP="00EC0C73">
      <w:pPr>
        <w:ind w:firstLine="708"/>
      </w:pPr>
      <w:r>
        <w:t xml:space="preserve">Dados numéricos que apresentam os limites e os valores percentuais de não conformidades referentes aos </w:t>
      </w:r>
      <w:r w:rsidR="0052162C">
        <w:t>fenóis</w:t>
      </w:r>
      <w:r>
        <w:t xml:space="preserve"> para os três períodos estão apresentados na </w:t>
      </w:r>
      <w:r w:rsidR="00A05FDF">
        <w:rPr>
          <w:color w:val="FF0000"/>
        </w:rPr>
        <w:fldChar w:fldCharType="begin"/>
      </w:r>
      <w:r w:rsidR="00A05FDF">
        <w:instrText xml:space="preserve"> REF _Ref23426916 \h </w:instrText>
      </w:r>
      <w:r w:rsidR="00A05FDF">
        <w:rPr>
          <w:color w:val="FF0000"/>
        </w:rPr>
      </w:r>
      <w:r w:rsidR="00A05FDF">
        <w:rPr>
          <w:color w:val="FF0000"/>
        </w:rPr>
        <w:fldChar w:fldCharType="separate"/>
      </w:r>
      <w:r w:rsidR="002C014F">
        <w:t xml:space="preserve">Tabela </w:t>
      </w:r>
      <w:r w:rsidR="002C014F">
        <w:rPr>
          <w:noProof/>
        </w:rPr>
        <w:t>10</w:t>
      </w:r>
      <w:r w:rsidR="00A05FDF">
        <w:rPr>
          <w:color w:val="FF0000"/>
        </w:rPr>
        <w:fldChar w:fldCharType="end"/>
      </w:r>
      <w:r>
        <w:t>.</w:t>
      </w:r>
    </w:p>
    <w:p w14:paraId="0348F003" w14:textId="432D9514" w:rsidR="008308DE" w:rsidRDefault="00EC0C73" w:rsidP="00CF3145">
      <w:pPr>
        <w:pStyle w:val="Legenda"/>
        <w:keepNext/>
      </w:pPr>
      <w:bookmarkStart w:id="96" w:name="_Ref23426916"/>
      <w:bookmarkStart w:id="97" w:name="_Toc23430154"/>
      <w:bookmarkStart w:id="98" w:name="_Toc46992185"/>
      <w:r>
        <w:lastRenderedPageBreak/>
        <w:t xml:space="preserve">Tabela </w:t>
      </w:r>
      <w:fldSimple w:instr=" SEQ Tabela \* ARABIC ">
        <w:r w:rsidR="002C014F">
          <w:rPr>
            <w:noProof/>
          </w:rPr>
          <w:t>10</w:t>
        </w:r>
      </w:fldSimple>
      <w:bookmarkEnd w:id="96"/>
      <w:r>
        <w:t xml:space="preserve"> - Limites CONAMA 357/2005 classe 2 e NOAA crônico, bem como índices de não conformidade para todas as amostras analisadas para os </w:t>
      </w:r>
      <w:bookmarkEnd w:id="97"/>
      <w:r>
        <w:t>fenóis.</w:t>
      </w:r>
      <w:bookmarkEnd w:id="98"/>
    </w:p>
    <w:p w14:paraId="4757FDD9" w14:textId="0F9FFD82" w:rsidR="005C2856" w:rsidRDefault="00EC0C73" w:rsidP="005C2856">
      <w:pPr>
        <w:pStyle w:val="Legenda"/>
        <w:keepNext/>
        <w:rPr>
          <w:iCs w:val="0"/>
        </w:rPr>
      </w:pPr>
      <w:r w:rsidRPr="00266561">
        <w:rPr>
          <w:noProof/>
          <w:lang w:eastAsia="pt-BR"/>
        </w:rPr>
        <w:drawing>
          <wp:inline distT="0" distB="0" distL="0" distR="0" wp14:anchorId="67ED10D9" wp14:editId="7695C559">
            <wp:extent cx="4547167" cy="6840000"/>
            <wp:effectExtent l="0" t="0" r="6350" b="0"/>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547167" cy="6840000"/>
                    </a:xfrm>
                    <a:prstGeom prst="rect">
                      <a:avLst/>
                    </a:prstGeom>
                    <a:noFill/>
                    <a:ln>
                      <a:noFill/>
                    </a:ln>
                  </pic:spPr>
                </pic:pic>
              </a:graphicData>
            </a:graphic>
          </wp:inline>
        </w:drawing>
      </w:r>
      <w:r w:rsidR="005C2856">
        <w:br w:type="page"/>
      </w:r>
    </w:p>
    <w:p w14:paraId="691298AC" w14:textId="7F23EE6D" w:rsidR="00EC0C73" w:rsidRPr="00283DAC" w:rsidRDefault="00EC0C73" w:rsidP="00D40C3A">
      <w:pPr>
        <w:ind w:firstLine="708"/>
        <w:rPr>
          <w:rFonts w:cs="Arial"/>
          <w:szCs w:val="20"/>
        </w:rPr>
      </w:pPr>
      <w:r w:rsidRPr="00283DAC">
        <w:rPr>
          <w:rFonts w:cs="Arial"/>
          <w:szCs w:val="20"/>
        </w:rPr>
        <w:lastRenderedPageBreak/>
        <w:t xml:space="preserve">Observou-se, por meio da </w:t>
      </w:r>
      <w:r w:rsidR="00A05FDF">
        <w:rPr>
          <w:rFonts w:cs="Arial"/>
          <w:szCs w:val="20"/>
          <w:highlight w:val="yellow"/>
        </w:rPr>
        <w:fldChar w:fldCharType="begin"/>
      </w:r>
      <w:r w:rsidR="00A05FDF">
        <w:rPr>
          <w:rFonts w:cs="Arial"/>
          <w:szCs w:val="20"/>
        </w:rPr>
        <w:instrText xml:space="preserve"> REF _Ref23426916 \h </w:instrText>
      </w:r>
      <w:r w:rsidR="00D40C3A">
        <w:rPr>
          <w:rFonts w:cs="Arial"/>
          <w:szCs w:val="20"/>
          <w:highlight w:val="yellow"/>
        </w:rPr>
        <w:instrText xml:space="preserve"> \* MERGEFORMAT </w:instrText>
      </w:r>
      <w:r w:rsidR="00A05FDF">
        <w:rPr>
          <w:rFonts w:cs="Arial"/>
          <w:szCs w:val="20"/>
          <w:highlight w:val="yellow"/>
        </w:rPr>
      </w:r>
      <w:r w:rsidR="00A05FDF">
        <w:rPr>
          <w:rFonts w:cs="Arial"/>
          <w:szCs w:val="20"/>
          <w:highlight w:val="yellow"/>
        </w:rPr>
        <w:fldChar w:fldCharType="separate"/>
      </w:r>
      <w:r w:rsidR="002C014F">
        <w:t xml:space="preserve">Tabela </w:t>
      </w:r>
      <w:r w:rsidR="002C014F">
        <w:rPr>
          <w:noProof/>
        </w:rPr>
        <w:t>10</w:t>
      </w:r>
      <w:r w:rsidR="00A05FDF">
        <w:rPr>
          <w:rFonts w:cs="Arial"/>
          <w:szCs w:val="20"/>
          <w:highlight w:val="yellow"/>
        </w:rPr>
        <w:fldChar w:fldCharType="end"/>
      </w:r>
      <w:r w:rsidRPr="00283DAC">
        <w:rPr>
          <w:rFonts w:cs="Arial"/>
          <w:szCs w:val="20"/>
        </w:rPr>
        <w:t>, que o período de transição apresentou um pequeno aumento</w:t>
      </w:r>
      <w:r>
        <w:rPr>
          <w:rFonts w:cs="Arial"/>
          <w:szCs w:val="20"/>
        </w:rPr>
        <w:t xml:space="preserve"> do percentual</w:t>
      </w:r>
      <w:r w:rsidRPr="00283DAC">
        <w:rPr>
          <w:rFonts w:cs="Arial"/>
          <w:szCs w:val="20"/>
        </w:rPr>
        <w:t xml:space="preserve"> de amostras não conformes </w:t>
      </w:r>
      <w:r>
        <w:rPr>
          <w:rFonts w:cs="Arial"/>
          <w:szCs w:val="20"/>
        </w:rPr>
        <w:t>segundo a</w:t>
      </w:r>
      <w:r w:rsidRPr="00283DAC">
        <w:rPr>
          <w:rFonts w:cs="Arial"/>
          <w:szCs w:val="20"/>
        </w:rPr>
        <w:t xml:space="preserve"> resolução CONAMA 357/2005 classe 2, quando comparado com o Ano1. Os parâmetros não conformes foram: 2-clorofenol (36,8%), 2,4 Diclofenol (67,6%) e Pentaclorofenol (41,2%).</w:t>
      </w:r>
    </w:p>
    <w:p w14:paraId="23FAA461" w14:textId="77777777" w:rsidR="002C014F" w:rsidRDefault="00EC0C73" w:rsidP="002C014F">
      <w:pPr>
        <w:ind w:firstLine="708"/>
      </w:pPr>
      <w:r w:rsidRPr="00283DAC">
        <w:rPr>
          <w:rFonts w:cs="Arial"/>
          <w:szCs w:val="20"/>
        </w:rPr>
        <w:t xml:space="preserve">Considerando-se os limites do NOAA crônico, também </w:t>
      </w:r>
      <w:proofErr w:type="gramStart"/>
      <w:r w:rsidRPr="00283DAC">
        <w:rPr>
          <w:rFonts w:cs="Arial"/>
          <w:szCs w:val="20"/>
        </w:rPr>
        <w:t>observou-se</w:t>
      </w:r>
      <w:proofErr w:type="gramEnd"/>
      <w:r w:rsidRPr="00283DAC">
        <w:rPr>
          <w:rFonts w:cs="Arial"/>
          <w:szCs w:val="20"/>
        </w:rPr>
        <w:t xml:space="preserve"> um ligeiro aumento. Os parâmetros não conformes de acordo com essa legislação foram:</w:t>
      </w:r>
      <w:r>
        <w:rPr>
          <w:rFonts w:cs="Arial"/>
          <w:szCs w:val="20"/>
        </w:rPr>
        <w:t xml:space="preserve"> </w:t>
      </w:r>
      <w:r w:rsidRPr="00283DAC">
        <w:rPr>
          <w:rFonts w:cs="Arial"/>
          <w:szCs w:val="20"/>
        </w:rPr>
        <w:t xml:space="preserve">2,6 </w:t>
      </w:r>
      <w:proofErr w:type="spellStart"/>
      <w:r w:rsidRPr="00283DAC">
        <w:rPr>
          <w:rFonts w:cs="Arial"/>
          <w:szCs w:val="20"/>
        </w:rPr>
        <w:t>diclorofenol</w:t>
      </w:r>
      <w:proofErr w:type="spellEnd"/>
      <w:r w:rsidRPr="00283DAC">
        <w:rPr>
          <w:rFonts w:cs="Arial"/>
          <w:szCs w:val="20"/>
        </w:rPr>
        <w:t xml:space="preserve"> (64,7%), Dinoseb (89,7%) Pentaclorofenol (27,9%), 2,3,4,5 </w:t>
      </w:r>
      <w:proofErr w:type="spellStart"/>
      <w:r w:rsidRPr="00283DAC">
        <w:rPr>
          <w:rFonts w:cs="Arial"/>
          <w:szCs w:val="20"/>
        </w:rPr>
        <w:t>tetraclorofenol</w:t>
      </w:r>
      <w:proofErr w:type="spellEnd"/>
      <w:r w:rsidRPr="00283DAC">
        <w:rPr>
          <w:rFonts w:cs="Arial"/>
          <w:szCs w:val="20"/>
        </w:rPr>
        <w:t xml:space="preserve"> (89,7%), 2,3,4,5 </w:t>
      </w:r>
      <w:proofErr w:type="spellStart"/>
      <w:r w:rsidRPr="00283DAC">
        <w:rPr>
          <w:rFonts w:cs="Arial"/>
          <w:szCs w:val="20"/>
        </w:rPr>
        <w:t>tetraclorofenol</w:t>
      </w:r>
      <w:proofErr w:type="spellEnd"/>
      <w:r w:rsidRPr="00283DAC">
        <w:rPr>
          <w:rFonts w:cs="Arial"/>
          <w:szCs w:val="20"/>
        </w:rPr>
        <w:t xml:space="preserve"> (19,1%)</w:t>
      </w:r>
      <w:r w:rsidR="00851EED">
        <w:rPr>
          <w:rFonts w:cs="Arial"/>
          <w:szCs w:val="20"/>
        </w:rPr>
        <w:t>.</w:t>
      </w:r>
      <w:r w:rsidR="00A05FDF">
        <w:rPr>
          <w:rFonts w:cs="Arial"/>
          <w:szCs w:val="20"/>
        </w:rPr>
        <w:fldChar w:fldCharType="begin"/>
      </w:r>
      <w:r w:rsidR="00A05FDF">
        <w:rPr>
          <w:rFonts w:cs="Arial"/>
          <w:szCs w:val="20"/>
        </w:rPr>
        <w:instrText xml:space="preserve"> REF _Ref42076040 \h </w:instrText>
      </w:r>
      <w:r w:rsidR="00D40C3A">
        <w:rPr>
          <w:rFonts w:cs="Arial"/>
          <w:szCs w:val="20"/>
        </w:rPr>
        <w:instrText xml:space="preserve"> \* MERGEFORMAT </w:instrText>
      </w:r>
      <w:r w:rsidR="00A05FDF">
        <w:rPr>
          <w:rFonts w:cs="Arial"/>
          <w:szCs w:val="20"/>
        </w:rPr>
      </w:r>
      <w:r w:rsidR="00A05FDF">
        <w:rPr>
          <w:rFonts w:cs="Arial"/>
          <w:szCs w:val="20"/>
        </w:rPr>
        <w:fldChar w:fldCharType="separate"/>
      </w:r>
    </w:p>
    <w:p w14:paraId="571CE987" w14:textId="2899CE36" w:rsidR="00EC0C73" w:rsidRPr="005C2856" w:rsidRDefault="002C014F" w:rsidP="00D40C3A">
      <w:pPr>
        <w:ind w:firstLine="708"/>
        <w:rPr>
          <w:rFonts w:cs="Arial"/>
          <w:szCs w:val="20"/>
        </w:rPr>
      </w:pPr>
      <w:r>
        <w:br w:type="page"/>
      </w:r>
      <w:r>
        <w:lastRenderedPageBreak/>
        <w:t>Figura</w:t>
      </w:r>
      <w:r>
        <w:rPr>
          <w:noProof/>
        </w:rPr>
        <w:t xml:space="preserve"> 29</w:t>
      </w:r>
      <w:r w:rsidR="00A05FDF">
        <w:rPr>
          <w:rFonts w:cs="Arial"/>
          <w:szCs w:val="20"/>
        </w:rPr>
        <w:fldChar w:fldCharType="end"/>
      </w:r>
      <w:r w:rsidR="00EC0C73" w:rsidRPr="00283DAC">
        <w:rPr>
          <w:rFonts w:cs="Arial"/>
          <w:szCs w:val="20"/>
        </w:rPr>
        <w:t xml:space="preserve"> mostra</w:t>
      </w:r>
      <w:r w:rsidR="00EC0C73">
        <w:rPr>
          <w:rFonts w:cs="Arial"/>
          <w:szCs w:val="20"/>
        </w:rPr>
        <w:t>m</w:t>
      </w:r>
      <w:r w:rsidR="00EC0C73" w:rsidRPr="00283DAC">
        <w:rPr>
          <w:rFonts w:cs="Arial"/>
          <w:szCs w:val="20"/>
        </w:rPr>
        <w:t xml:space="preserve"> o comportamento das concentrações e</w:t>
      </w:r>
      <w:r w:rsidR="00EC0C73">
        <w:rPr>
          <w:rFonts w:cs="Arial"/>
          <w:szCs w:val="20"/>
        </w:rPr>
        <w:t xml:space="preserve"> dos</w:t>
      </w:r>
      <w:r w:rsidR="00EC0C73" w:rsidRPr="00283DAC">
        <w:rPr>
          <w:rFonts w:cs="Arial"/>
          <w:szCs w:val="20"/>
        </w:rPr>
        <w:t xml:space="preserve"> índice</w:t>
      </w:r>
      <w:r w:rsidR="00EC0C73">
        <w:rPr>
          <w:rFonts w:cs="Arial"/>
          <w:szCs w:val="20"/>
        </w:rPr>
        <w:t>s</w:t>
      </w:r>
      <w:r w:rsidR="00EC0C73" w:rsidRPr="00283DAC">
        <w:rPr>
          <w:rFonts w:cs="Arial"/>
          <w:szCs w:val="20"/>
        </w:rPr>
        <w:t xml:space="preserve"> de não conformidades do Ano de transição, nos diferentes ambientes, referentes aos compostos fenólicos: 2-clorofenol, Pentaclorofenol, 2,6 Diclofenol, Dinoseb, 2,3,4,5 </w:t>
      </w:r>
      <w:proofErr w:type="spellStart"/>
      <w:r w:rsidR="00EC0C73" w:rsidRPr="00283DAC">
        <w:rPr>
          <w:rFonts w:cs="Arial"/>
          <w:szCs w:val="20"/>
        </w:rPr>
        <w:t>tetraclorofenol</w:t>
      </w:r>
      <w:proofErr w:type="spellEnd"/>
      <w:r w:rsidR="00EC0C73" w:rsidRPr="00283DAC">
        <w:rPr>
          <w:rFonts w:cs="Arial"/>
          <w:szCs w:val="20"/>
        </w:rPr>
        <w:t>, respectivamente. Verifica-se que a distribuição de não conformidades foi similar entre os diferentes ambientes, com exceção do 2-clorofenol</w:t>
      </w:r>
      <w:r w:rsidR="00EC0C73">
        <w:rPr>
          <w:rFonts w:cs="Arial"/>
          <w:szCs w:val="20"/>
        </w:rPr>
        <w:t xml:space="preserve">, </w:t>
      </w:r>
      <w:r w:rsidR="00EC0C73" w:rsidRPr="00283DAC">
        <w:rPr>
          <w:rFonts w:cs="Arial"/>
          <w:szCs w:val="20"/>
        </w:rPr>
        <w:t xml:space="preserve">o qual </w:t>
      </w:r>
      <w:r w:rsidR="00EC0C73">
        <w:rPr>
          <w:rFonts w:cs="Arial"/>
          <w:szCs w:val="20"/>
        </w:rPr>
        <w:t>seu maior contribuidor foi o</w:t>
      </w:r>
      <w:r w:rsidR="00EC0C73" w:rsidRPr="00283DAC">
        <w:rPr>
          <w:rFonts w:cs="Arial"/>
          <w:szCs w:val="20"/>
        </w:rPr>
        <w:t xml:space="preserve"> Rio Doce.</w:t>
      </w:r>
    </w:p>
    <w:p w14:paraId="0B37CB45" w14:textId="77777777" w:rsidR="00EC0C73" w:rsidRPr="00283DAC" w:rsidRDefault="00EC0C73" w:rsidP="00EC0C73">
      <w:pPr>
        <w:ind w:firstLine="708"/>
        <w:rPr>
          <w:rFonts w:cs="Arial"/>
          <w:szCs w:val="20"/>
        </w:rPr>
      </w:pPr>
      <w:r w:rsidRPr="00283DAC">
        <w:rPr>
          <w:rFonts w:cs="Arial"/>
          <w:szCs w:val="20"/>
        </w:rPr>
        <w:t>Observa-se que os índices de não conformidade</w:t>
      </w:r>
      <w:r>
        <w:rPr>
          <w:rFonts w:cs="Arial"/>
          <w:szCs w:val="20"/>
        </w:rPr>
        <w:t>s</w:t>
      </w:r>
      <w:r w:rsidRPr="00283DAC">
        <w:rPr>
          <w:rFonts w:cs="Arial"/>
          <w:szCs w:val="20"/>
        </w:rPr>
        <w:t xml:space="preserve"> para esses parâmetros no Ano de transição continuam altos, mostrando que é extremamente necessário monitorá-los, visto que os fenóis apresentam grande toxicidade e impacto sobre a saúde humana, apontados como carcinogênicos e persistente</w:t>
      </w:r>
      <w:r>
        <w:rPr>
          <w:rFonts w:cs="Arial"/>
          <w:szCs w:val="20"/>
        </w:rPr>
        <w:t>s</w:t>
      </w:r>
      <w:r w:rsidRPr="00283DAC">
        <w:rPr>
          <w:rFonts w:cs="Arial"/>
          <w:szCs w:val="20"/>
        </w:rPr>
        <w:t xml:space="preserve"> no ambiente. </w:t>
      </w:r>
    </w:p>
    <w:p w14:paraId="33C453A0" w14:textId="77777777" w:rsidR="008308DE" w:rsidRDefault="008308DE">
      <w:pPr>
        <w:spacing w:before="0" w:line="259" w:lineRule="auto"/>
        <w:jc w:val="left"/>
        <w:rPr>
          <w:iCs/>
          <w:sz w:val="16"/>
          <w:szCs w:val="18"/>
        </w:rPr>
      </w:pPr>
      <w:bookmarkStart w:id="99" w:name="_Ref42076018"/>
      <w:r>
        <w:br w:type="page"/>
      </w:r>
    </w:p>
    <w:p w14:paraId="767DC6C4" w14:textId="68F02050" w:rsidR="00EC0C73" w:rsidRDefault="00EC0C73" w:rsidP="00EC0C73">
      <w:pPr>
        <w:pStyle w:val="Legenda"/>
        <w:keepNext/>
      </w:pPr>
      <w:bookmarkStart w:id="100" w:name="_Toc46992159"/>
      <w:r>
        <w:lastRenderedPageBreak/>
        <w:t xml:space="preserve">Figura </w:t>
      </w:r>
      <w:fldSimple w:instr=" SEQ Figura \* ARABIC ">
        <w:r w:rsidR="002C014F">
          <w:rPr>
            <w:noProof/>
          </w:rPr>
          <w:t>25</w:t>
        </w:r>
      </w:fldSimple>
      <w:bookmarkEnd w:id="99"/>
      <w:r>
        <w:t xml:space="preserve"> - Concentrações e índice de não conformidades referentes ao 2-clorofenol em diferentes períodos e ao longo dos ambientes Rio Guandu, Rio Doce, Lagos e Lagoas.</w:t>
      </w:r>
      <w:bookmarkEnd w:id="100"/>
    </w:p>
    <w:p w14:paraId="523F4FF4" w14:textId="77777777" w:rsidR="00EC0C73" w:rsidRDefault="00EC0C73" w:rsidP="00EC0C73">
      <w:pPr>
        <w:jc w:val="center"/>
      </w:pPr>
      <w:r w:rsidRPr="00E423DC">
        <w:rPr>
          <w:noProof/>
          <w:lang w:eastAsia="pt-BR"/>
        </w:rPr>
        <w:drawing>
          <wp:inline distT="0" distB="0" distL="0" distR="0" wp14:anchorId="45F17DDC" wp14:editId="5C764C25">
            <wp:extent cx="3336925" cy="5646239"/>
            <wp:effectExtent l="0" t="0" r="0" b="0"/>
            <wp:docPr id="84" name="Imagem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337641" cy="5647451"/>
                    </a:xfrm>
                    <a:prstGeom prst="rect">
                      <a:avLst/>
                    </a:prstGeom>
                    <a:noFill/>
                    <a:ln>
                      <a:noFill/>
                    </a:ln>
                  </pic:spPr>
                </pic:pic>
              </a:graphicData>
            </a:graphic>
          </wp:inline>
        </w:drawing>
      </w:r>
    </w:p>
    <w:p w14:paraId="61EB1C21" w14:textId="1F202F76" w:rsidR="00EC0C73" w:rsidRDefault="00EC0C73" w:rsidP="00EC0C73">
      <w:pPr>
        <w:pStyle w:val="Legenda"/>
        <w:keepNext/>
      </w:pPr>
      <w:bookmarkStart w:id="101" w:name="_Toc46992160"/>
      <w:r>
        <w:lastRenderedPageBreak/>
        <w:t xml:space="preserve">Figura </w:t>
      </w:r>
      <w:fldSimple w:instr=" SEQ Figura \* ARABIC ">
        <w:r w:rsidR="002C014F">
          <w:rPr>
            <w:noProof/>
          </w:rPr>
          <w:t>26</w:t>
        </w:r>
      </w:fldSimple>
      <w:r>
        <w:t xml:space="preserve"> - Concentrações e índice de não conformidades referentes ao Pentaclorofenol em diferentes períodos e ao longo dos ambientes Rio Guandu, Rio Doce, Lagos e Lagoas.</w:t>
      </w:r>
      <w:bookmarkEnd w:id="101"/>
    </w:p>
    <w:p w14:paraId="13A30BB0" w14:textId="77777777" w:rsidR="00EC0C73" w:rsidRDefault="00EC0C73" w:rsidP="00EC0C73">
      <w:pPr>
        <w:jc w:val="center"/>
      </w:pPr>
      <w:r w:rsidRPr="00E423DC">
        <w:rPr>
          <w:noProof/>
          <w:lang w:eastAsia="pt-BR"/>
        </w:rPr>
        <w:drawing>
          <wp:inline distT="0" distB="0" distL="0" distR="0" wp14:anchorId="4153FE82" wp14:editId="6ED371FB">
            <wp:extent cx="3544259" cy="6840000"/>
            <wp:effectExtent l="0" t="0" r="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544259" cy="6840000"/>
                    </a:xfrm>
                    <a:prstGeom prst="rect">
                      <a:avLst/>
                    </a:prstGeom>
                    <a:noFill/>
                    <a:ln>
                      <a:noFill/>
                    </a:ln>
                  </pic:spPr>
                </pic:pic>
              </a:graphicData>
            </a:graphic>
          </wp:inline>
        </w:drawing>
      </w:r>
    </w:p>
    <w:p w14:paraId="5F449D28" w14:textId="1076A6BF" w:rsidR="00EC0C73" w:rsidRDefault="00EC0C73" w:rsidP="00EC0C73">
      <w:pPr>
        <w:pStyle w:val="Legenda"/>
        <w:keepNext/>
      </w:pPr>
      <w:bookmarkStart w:id="102" w:name="_Toc46992161"/>
      <w:r>
        <w:lastRenderedPageBreak/>
        <w:t xml:space="preserve">Figura </w:t>
      </w:r>
      <w:fldSimple w:instr=" SEQ Figura \* ARABIC ">
        <w:r w:rsidR="002C014F">
          <w:rPr>
            <w:noProof/>
          </w:rPr>
          <w:t>27</w:t>
        </w:r>
      </w:fldSimple>
      <w:r>
        <w:t xml:space="preserve"> - Concentrações e índice de não conformidades referentes ao 2,6 Diclofenol em diferentes períodos e ao longo dos ambientes Rio Guandu, Rio Doce, Lagos e Lagoas.</w:t>
      </w:r>
      <w:bookmarkEnd w:id="102"/>
    </w:p>
    <w:p w14:paraId="2230E9E7" w14:textId="50872302" w:rsidR="00CF3145" w:rsidRDefault="00EC0C73" w:rsidP="00CF3145">
      <w:pPr>
        <w:jc w:val="center"/>
      </w:pPr>
      <w:r w:rsidRPr="00C504CF">
        <w:rPr>
          <w:noProof/>
          <w:lang w:eastAsia="pt-BR"/>
        </w:rPr>
        <w:drawing>
          <wp:inline distT="0" distB="0" distL="0" distR="0" wp14:anchorId="12466874" wp14:editId="6C79F281">
            <wp:extent cx="3544259" cy="6840000"/>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544259" cy="6840000"/>
                    </a:xfrm>
                    <a:prstGeom prst="rect">
                      <a:avLst/>
                    </a:prstGeom>
                    <a:noFill/>
                    <a:ln>
                      <a:noFill/>
                    </a:ln>
                  </pic:spPr>
                </pic:pic>
              </a:graphicData>
            </a:graphic>
          </wp:inline>
        </w:drawing>
      </w:r>
      <w:r w:rsidR="00CF3145">
        <w:br w:type="page"/>
      </w:r>
    </w:p>
    <w:p w14:paraId="000CD361" w14:textId="09A2AC8D" w:rsidR="00EC0C73" w:rsidRDefault="00EC0C73" w:rsidP="00CF3145">
      <w:pPr>
        <w:jc w:val="center"/>
      </w:pPr>
      <w:bookmarkStart w:id="103" w:name="_Toc46992162"/>
      <w:r>
        <w:lastRenderedPageBreak/>
        <w:t xml:space="preserve">Figura </w:t>
      </w:r>
      <w:fldSimple w:instr=" SEQ Figura \* ARABIC ">
        <w:r w:rsidR="002C014F">
          <w:rPr>
            <w:noProof/>
          </w:rPr>
          <w:t>28</w:t>
        </w:r>
      </w:fldSimple>
      <w:r>
        <w:t xml:space="preserve"> - Concentrações e índice de não conformidades referentes ao Dinoseb em diferentes períodos e ao longo dos ambientes Rio Guandu, Rio Doce, Lagos e Lagoas.</w:t>
      </w:r>
      <w:bookmarkEnd w:id="103"/>
    </w:p>
    <w:p w14:paraId="22FD0117" w14:textId="77777777" w:rsidR="00CF3145" w:rsidRDefault="00EC0C73" w:rsidP="00CF3145">
      <w:pPr>
        <w:jc w:val="center"/>
      </w:pPr>
      <w:r w:rsidRPr="009831A4">
        <w:rPr>
          <w:noProof/>
          <w:lang w:eastAsia="pt-BR"/>
        </w:rPr>
        <w:drawing>
          <wp:inline distT="0" distB="0" distL="0" distR="0" wp14:anchorId="5A2E31D3" wp14:editId="00D003CA">
            <wp:extent cx="3544259" cy="6840000"/>
            <wp:effectExtent l="0" t="0" r="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544259" cy="6840000"/>
                    </a:xfrm>
                    <a:prstGeom prst="rect">
                      <a:avLst/>
                    </a:prstGeom>
                    <a:noFill/>
                    <a:ln>
                      <a:noFill/>
                    </a:ln>
                  </pic:spPr>
                </pic:pic>
              </a:graphicData>
            </a:graphic>
          </wp:inline>
        </w:drawing>
      </w:r>
      <w:bookmarkStart w:id="104" w:name="_Ref42076040"/>
    </w:p>
    <w:p w14:paraId="4FA9E301" w14:textId="3A492B56" w:rsidR="00EC0C73" w:rsidRDefault="00CF3145" w:rsidP="008308DE">
      <w:pPr>
        <w:spacing w:before="0" w:line="259" w:lineRule="auto"/>
        <w:jc w:val="center"/>
      </w:pPr>
      <w:r>
        <w:br w:type="page"/>
      </w:r>
      <w:bookmarkStart w:id="105" w:name="_Toc46992163"/>
      <w:r w:rsidR="00EC0C73">
        <w:lastRenderedPageBreak/>
        <w:t xml:space="preserve">Figura </w:t>
      </w:r>
      <w:fldSimple w:instr=" SEQ Figura \* ARABIC ">
        <w:r w:rsidR="002C014F">
          <w:rPr>
            <w:noProof/>
          </w:rPr>
          <w:t>29</w:t>
        </w:r>
      </w:fldSimple>
      <w:bookmarkEnd w:id="104"/>
      <w:r w:rsidR="00EC0C73">
        <w:t xml:space="preserve"> - Concentrações e índice de não conformidades referentes ao 2,3,4,5 </w:t>
      </w:r>
      <w:proofErr w:type="spellStart"/>
      <w:r w:rsidR="00EC0C73">
        <w:t>tetraclorofenol</w:t>
      </w:r>
      <w:proofErr w:type="spellEnd"/>
      <w:r w:rsidR="00EC0C73">
        <w:t xml:space="preserve"> em diferentes períodos e ao longo dos ambientes Rio Guandu, Rio Doce, Lagos e Lagoas.</w:t>
      </w:r>
      <w:bookmarkEnd w:id="105"/>
    </w:p>
    <w:p w14:paraId="43768357" w14:textId="77777777" w:rsidR="00EC0C73" w:rsidRDefault="00EC0C73" w:rsidP="00EC0C73">
      <w:pPr>
        <w:jc w:val="center"/>
      </w:pPr>
      <w:r w:rsidRPr="00385481">
        <w:rPr>
          <w:noProof/>
          <w:lang w:eastAsia="pt-BR"/>
        </w:rPr>
        <w:drawing>
          <wp:inline distT="0" distB="0" distL="0" distR="0" wp14:anchorId="0E79E291" wp14:editId="4E904C2C">
            <wp:extent cx="3544259" cy="6840000"/>
            <wp:effectExtent l="0" t="0" r="0" b="0"/>
            <wp:docPr id="89" name="Imagem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44259" cy="6840000"/>
                    </a:xfrm>
                    <a:prstGeom prst="rect">
                      <a:avLst/>
                    </a:prstGeom>
                    <a:noFill/>
                    <a:ln>
                      <a:noFill/>
                    </a:ln>
                  </pic:spPr>
                </pic:pic>
              </a:graphicData>
            </a:graphic>
          </wp:inline>
        </w:drawing>
      </w:r>
    </w:p>
    <w:p w14:paraId="00348AFE" w14:textId="5DD4486E" w:rsidR="00EC0C73" w:rsidRPr="0044223E" w:rsidRDefault="00EC0C73" w:rsidP="00035CA8">
      <w:pPr>
        <w:pStyle w:val="Ttulo2"/>
        <w:rPr>
          <w:rStyle w:val="Ttulo2Char"/>
          <w:b/>
        </w:rPr>
      </w:pPr>
      <w:r>
        <w:br w:type="page"/>
      </w:r>
      <w:bookmarkStart w:id="106" w:name="_Toc46992125"/>
      <w:r w:rsidRPr="0044223E">
        <w:rPr>
          <w:rStyle w:val="Ttulo2Char"/>
          <w:b/>
        </w:rPr>
        <w:lastRenderedPageBreak/>
        <w:t>METAIS EM SEDIMENTO</w:t>
      </w:r>
      <w:r w:rsidR="0044223E">
        <w:rPr>
          <w:rStyle w:val="Ttulo2Char"/>
          <w:b/>
        </w:rPr>
        <w:t>S</w:t>
      </w:r>
      <w:bookmarkEnd w:id="106"/>
    </w:p>
    <w:p w14:paraId="77D79704" w14:textId="77777777" w:rsidR="003D2CBF" w:rsidRDefault="003D2CBF" w:rsidP="0044223E">
      <w:pPr>
        <w:ind w:firstLine="578"/>
      </w:pPr>
      <w:r>
        <w:t>Durante o período de transição, que compreende o período de meses de novembro de 2019 a fevereiro de 2020, foram coletadas 44 amostras de sedimentos abrangendo Rio Guandu, Rio Doce, lagos e lagoas conforme malha amostral do PMBA. Estas amostras foram analisadas para os parâmetros de metais totais, metais parciais e extração sequencial. Para este relatório, com intuito de se avaliar a evolução do sistema, será discutido apenas o parâmetro de metais totais que apresenta uma visão mais geral, onde se é possível perceber tendências e situações de conformidades com valores de referências nacionais e internacionais.</w:t>
      </w:r>
    </w:p>
    <w:p w14:paraId="24C95AE2" w14:textId="0C370AD9" w:rsidR="003D2CBF" w:rsidRDefault="003D2CBF" w:rsidP="0044223E">
      <w:pPr>
        <w:ind w:firstLine="578"/>
      </w:pPr>
      <w:r>
        <w:t>No decorrer deste relatório será apresentado primeiramente uma visão geral dos principais elementos inorgânicos presentes nos quatro ambientes dulcícolas estudados, sendo comparados entre si durante o período de transição e com o ano 1 do PMBA. Em seguida, serão apresentadas as não conformidades, conforme limites CONAMA e NOAA, de elementos considerados indicadores após conclusão do relatório do ano 1 e a variação por semestre de alguns elementos majoritários selecionados por não possuírem valores limítrofes e a comparação com valores do monitoramento emergencial realizado pelo IEMA em 2015.</w:t>
      </w:r>
    </w:p>
    <w:p w14:paraId="507816B8" w14:textId="77777777" w:rsidR="003D2CBF" w:rsidRPr="003D2CBF" w:rsidRDefault="003D2CBF" w:rsidP="003D2CBF"/>
    <w:p w14:paraId="7AC4F076" w14:textId="031061F1" w:rsidR="00EC0C73" w:rsidRPr="00035CA8" w:rsidRDefault="00EC0C73" w:rsidP="00035CA8">
      <w:pPr>
        <w:pStyle w:val="Ttulo3"/>
      </w:pPr>
      <w:bookmarkStart w:id="107" w:name="_Toc46992126"/>
      <w:r w:rsidRPr="00035CA8">
        <w:t>Metais totais</w:t>
      </w:r>
      <w:bookmarkEnd w:id="107"/>
    </w:p>
    <w:p w14:paraId="18D5AFBF" w14:textId="2F99E791" w:rsidR="003D2CBF" w:rsidRDefault="003D2CBF" w:rsidP="0044223E">
      <w:pPr>
        <w:ind w:firstLine="708"/>
        <w:rPr>
          <w:rFonts w:cstheme="minorHAnsi"/>
        </w:rPr>
      </w:pPr>
      <w:r w:rsidRPr="00B31870">
        <w:rPr>
          <w:rFonts w:cstheme="minorHAnsi"/>
        </w:rPr>
        <w:t xml:space="preserve">Na </w:t>
      </w:r>
      <w:r>
        <w:rPr>
          <w:rFonts w:cstheme="minorHAnsi"/>
        </w:rPr>
        <w:fldChar w:fldCharType="begin"/>
      </w:r>
      <w:r>
        <w:rPr>
          <w:rFonts w:cstheme="minorHAnsi"/>
        </w:rPr>
        <w:instrText xml:space="preserve"> REF _Ref42085111 \h </w:instrText>
      </w:r>
      <w:r>
        <w:rPr>
          <w:rFonts w:cstheme="minorHAnsi"/>
        </w:rPr>
      </w:r>
      <w:r>
        <w:rPr>
          <w:rFonts w:cstheme="minorHAnsi"/>
        </w:rPr>
        <w:fldChar w:fldCharType="separate"/>
      </w:r>
      <w:r w:rsidR="002C014F">
        <w:t xml:space="preserve">Tabela </w:t>
      </w:r>
      <w:r w:rsidR="002C014F">
        <w:rPr>
          <w:noProof/>
        </w:rPr>
        <w:t>11</w:t>
      </w:r>
      <w:r>
        <w:rPr>
          <w:rFonts w:cstheme="minorHAnsi"/>
        </w:rPr>
        <w:fldChar w:fldCharType="end"/>
      </w:r>
      <w:r>
        <w:rPr>
          <w:rFonts w:cstheme="minorHAnsi"/>
        </w:rPr>
        <w:t xml:space="preserve"> </w:t>
      </w:r>
      <w:r w:rsidRPr="00B31870">
        <w:rPr>
          <w:rFonts w:cstheme="minorHAnsi"/>
        </w:rPr>
        <w:t xml:space="preserve">estão apresentadas as médias das concentrações para alguns elementos em </w:t>
      </w:r>
      <w:r w:rsidR="0044223E">
        <w:rPr>
          <w:rFonts w:cstheme="minorHAnsi"/>
        </w:rPr>
        <w:t>sedimentos</w:t>
      </w:r>
      <w:r w:rsidRPr="00B31870">
        <w:rPr>
          <w:rFonts w:cstheme="minorHAnsi"/>
        </w:rPr>
        <w:t xml:space="preserve"> para o parâmetro de metais totais. Para o ano 1 do PMBA, que compreende o período de outubro de 2018 e setembro de 2019, e para o período de transição, referente ao período de novembro de 2019 a fevereiro de 2020.</w:t>
      </w:r>
    </w:p>
    <w:p w14:paraId="5FBF8242" w14:textId="7B03A276" w:rsidR="00E81852" w:rsidRDefault="00E81852">
      <w:pPr>
        <w:spacing w:before="0" w:line="259" w:lineRule="auto"/>
        <w:jc w:val="left"/>
      </w:pPr>
      <w:r>
        <w:br w:type="page"/>
      </w:r>
    </w:p>
    <w:p w14:paraId="68AF2B2B" w14:textId="7F857A81" w:rsidR="003D2CBF" w:rsidRDefault="003D2CBF" w:rsidP="003D2CBF">
      <w:pPr>
        <w:pStyle w:val="Legenda"/>
        <w:keepNext/>
      </w:pPr>
      <w:bookmarkStart w:id="108" w:name="_Ref42085111"/>
      <w:bookmarkStart w:id="109" w:name="_Toc46992186"/>
      <w:r>
        <w:lastRenderedPageBreak/>
        <w:t xml:space="preserve">Tabela </w:t>
      </w:r>
      <w:fldSimple w:instr=" SEQ Tabela \* ARABIC ">
        <w:r w:rsidR="002C014F">
          <w:rPr>
            <w:noProof/>
          </w:rPr>
          <w:t>11</w:t>
        </w:r>
      </w:fldSimple>
      <w:bookmarkEnd w:id="108"/>
      <w:r>
        <w:t xml:space="preserve"> </w:t>
      </w:r>
      <w:r w:rsidR="0044223E">
        <w:t>–</w:t>
      </w:r>
      <w:r>
        <w:t xml:space="preserve"> </w:t>
      </w:r>
      <w:r w:rsidR="0044223E">
        <w:t>Valores das</w:t>
      </w:r>
      <w:r w:rsidRPr="00F53C0D">
        <w:t xml:space="preserve"> médias de concentrações em </w:t>
      </w:r>
      <w:r>
        <w:t>mg kg</w:t>
      </w:r>
      <w:r w:rsidRPr="003D2CBF">
        <w:rPr>
          <w:vertAlign w:val="superscript"/>
        </w:rPr>
        <w:t>-1</w:t>
      </w:r>
      <w:r w:rsidRPr="00F53C0D">
        <w:t xml:space="preserve"> para alguns elementos inorgânicos em</w:t>
      </w:r>
      <w:r>
        <w:t xml:space="preserve"> sedimento</w:t>
      </w:r>
      <w:r w:rsidR="0044223E">
        <w:t>s</w:t>
      </w:r>
      <w:r>
        <w:t xml:space="preserve"> </w:t>
      </w:r>
      <w:r w:rsidRPr="00F53C0D">
        <w:t>metais totais</w:t>
      </w:r>
      <w:bookmarkEnd w:id="109"/>
    </w:p>
    <w:tbl>
      <w:tblPr>
        <w:tblW w:w="5139"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1225"/>
        <w:gridCol w:w="1207"/>
        <w:gridCol w:w="946"/>
        <w:gridCol w:w="976"/>
        <w:gridCol w:w="864"/>
        <w:gridCol w:w="1207"/>
        <w:gridCol w:w="946"/>
        <w:gridCol w:w="976"/>
        <w:gridCol w:w="976"/>
      </w:tblGrid>
      <w:tr w:rsidR="003D2CBF" w:rsidRPr="003D2CBF" w14:paraId="62BD5352" w14:textId="77777777" w:rsidTr="00CA56D5">
        <w:trPr>
          <w:trHeight w:val="675"/>
          <w:tblHeader/>
          <w:jc w:val="center"/>
        </w:trPr>
        <w:tc>
          <w:tcPr>
            <w:tcW w:w="678" w:type="pct"/>
            <w:vMerge w:val="restart"/>
            <w:tcBorders>
              <w:top w:val="single" w:sz="4" w:space="0" w:color="auto"/>
              <w:bottom w:val="single" w:sz="4" w:space="0" w:color="auto"/>
            </w:tcBorders>
            <w:shd w:val="clear" w:color="auto" w:fill="auto"/>
            <w:noWrap/>
            <w:vAlign w:val="center"/>
            <w:hideMark/>
          </w:tcPr>
          <w:p w14:paraId="00F147D1" w14:textId="77777777" w:rsidR="003D2CBF" w:rsidRPr="003D2CBF" w:rsidRDefault="003D2CBF" w:rsidP="003D2CBF">
            <w:pPr>
              <w:spacing w:before="0" w:after="0"/>
              <w:jc w:val="center"/>
              <w:rPr>
                <w:rFonts w:ascii="Calibri" w:eastAsia="Times New Roman" w:hAnsi="Calibri" w:cs="Calibri"/>
                <w:b/>
                <w:bCs/>
                <w:color w:val="000000"/>
                <w:sz w:val="22"/>
                <w:lang w:eastAsia="pt-BR"/>
              </w:rPr>
            </w:pPr>
            <w:r w:rsidRPr="003D2CBF">
              <w:rPr>
                <w:rFonts w:ascii="Calibri" w:eastAsia="Times New Roman" w:hAnsi="Calibri" w:cs="Calibri"/>
                <w:b/>
                <w:bCs/>
                <w:color w:val="000000"/>
                <w:sz w:val="22"/>
                <w:lang w:eastAsia="pt-BR"/>
              </w:rPr>
              <w:t>Elemento</w:t>
            </w:r>
          </w:p>
        </w:tc>
        <w:tc>
          <w:tcPr>
            <w:tcW w:w="2132" w:type="pct"/>
            <w:gridSpan w:val="4"/>
            <w:tcBorders>
              <w:top w:val="single" w:sz="4" w:space="0" w:color="auto"/>
              <w:bottom w:val="single" w:sz="4" w:space="0" w:color="auto"/>
            </w:tcBorders>
            <w:shd w:val="clear" w:color="auto" w:fill="auto"/>
            <w:vAlign w:val="center"/>
            <w:hideMark/>
          </w:tcPr>
          <w:p w14:paraId="435CD51F" w14:textId="77777777" w:rsidR="003D2CBF" w:rsidRPr="003D2CBF" w:rsidRDefault="003D2CBF" w:rsidP="003D2CBF">
            <w:pPr>
              <w:spacing w:before="0" w:after="0"/>
              <w:jc w:val="center"/>
              <w:rPr>
                <w:rFonts w:ascii="Calibri" w:eastAsia="Times New Roman" w:hAnsi="Calibri" w:cs="Calibri"/>
                <w:b/>
                <w:bCs/>
                <w:color w:val="000000"/>
                <w:sz w:val="22"/>
                <w:lang w:eastAsia="pt-BR"/>
              </w:rPr>
            </w:pPr>
            <w:r w:rsidRPr="003D2CBF">
              <w:rPr>
                <w:rFonts w:ascii="Calibri" w:eastAsia="Times New Roman" w:hAnsi="Calibri" w:cs="Calibri"/>
                <w:b/>
                <w:bCs/>
                <w:color w:val="000000"/>
                <w:sz w:val="22"/>
                <w:lang w:eastAsia="pt-BR"/>
              </w:rPr>
              <w:t>Ano 1</w:t>
            </w:r>
            <w:r w:rsidRPr="003D2CBF">
              <w:rPr>
                <w:rFonts w:ascii="Calibri" w:eastAsia="Times New Roman" w:hAnsi="Calibri" w:cs="Calibri"/>
                <w:b/>
                <w:bCs/>
                <w:color w:val="000000"/>
                <w:sz w:val="22"/>
                <w:lang w:eastAsia="pt-BR"/>
              </w:rPr>
              <w:br/>
              <w:t>(out/18 a set/19)</w:t>
            </w:r>
          </w:p>
        </w:tc>
        <w:tc>
          <w:tcPr>
            <w:tcW w:w="2191" w:type="pct"/>
            <w:gridSpan w:val="4"/>
            <w:tcBorders>
              <w:top w:val="single" w:sz="4" w:space="0" w:color="auto"/>
              <w:bottom w:val="single" w:sz="4" w:space="0" w:color="auto"/>
            </w:tcBorders>
            <w:shd w:val="clear" w:color="auto" w:fill="auto"/>
            <w:vAlign w:val="center"/>
            <w:hideMark/>
          </w:tcPr>
          <w:p w14:paraId="5B68E8F1" w14:textId="77777777" w:rsidR="003D2CBF" w:rsidRPr="003D2CBF" w:rsidRDefault="003D2CBF" w:rsidP="003D2CBF">
            <w:pPr>
              <w:spacing w:before="0" w:after="0"/>
              <w:jc w:val="center"/>
              <w:rPr>
                <w:rFonts w:ascii="Calibri" w:eastAsia="Times New Roman" w:hAnsi="Calibri" w:cs="Calibri"/>
                <w:b/>
                <w:bCs/>
                <w:color w:val="000000"/>
                <w:sz w:val="22"/>
                <w:lang w:eastAsia="pt-BR"/>
              </w:rPr>
            </w:pPr>
            <w:r w:rsidRPr="003D2CBF">
              <w:rPr>
                <w:rFonts w:ascii="Calibri" w:eastAsia="Times New Roman" w:hAnsi="Calibri" w:cs="Calibri"/>
                <w:b/>
                <w:bCs/>
                <w:color w:val="000000"/>
                <w:sz w:val="22"/>
                <w:lang w:eastAsia="pt-BR"/>
              </w:rPr>
              <w:t>Transição</w:t>
            </w:r>
            <w:r w:rsidRPr="003D2CBF">
              <w:rPr>
                <w:rFonts w:ascii="Calibri" w:eastAsia="Times New Roman" w:hAnsi="Calibri" w:cs="Calibri"/>
                <w:b/>
                <w:bCs/>
                <w:color w:val="000000"/>
                <w:sz w:val="22"/>
                <w:lang w:eastAsia="pt-BR"/>
              </w:rPr>
              <w:br/>
              <w:t>(</w:t>
            </w:r>
            <w:proofErr w:type="spellStart"/>
            <w:r w:rsidRPr="003D2CBF">
              <w:rPr>
                <w:rFonts w:ascii="Calibri" w:eastAsia="Times New Roman" w:hAnsi="Calibri" w:cs="Calibri"/>
                <w:b/>
                <w:bCs/>
                <w:color w:val="000000"/>
                <w:sz w:val="22"/>
                <w:lang w:eastAsia="pt-BR"/>
              </w:rPr>
              <w:t>nov</w:t>
            </w:r>
            <w:proofErr w:type="spellEnd"/>
            <w:r w:rsidRPr="003D2CBF">
              <w:rPr>
                <w:rFonts w:ascii="Calibri" w:eastAsia="Times New Roman" w:hAnsi="Calibri" w:cs="Calibri"/>
                <w:b/>
                <w:bCs/>
                <w:color w:val="000000"/>
                <w:sz w:val="22"/>
                <w:lang w:eastAsia="pt-BR"/>
              </w:rPr>
              <w:t xml:space="preserve">/19 a </w:t>
            </w:r>
            <w:proofErr w:type="spellStart"/>
            <w:r w:rsidRPr="003D2CBF">
              <w:rPr>
                <w:rFonts w:ascii="Calibri" w:eastAsia="Times New Roman" w:hAnsi="Calibri" w:cs="Calibri"/>
                <w:b/>
                <w:bCs/>
                <w:color w:val="000000"/>
                <w:sz w:val="22"/>
                <w:lang w:eastAsia="pt-BR"/>
              </w:rPr>
              <w:t>fev</w:t>
            </w:r>
            <w:proofErr w:type="spellEnd"/>
            <w:r w:rsidRPr="003D2CBF">
              <w:rPr>
                <w:rFonts w:ascii="Calibri" w:eastAsia="Times New Roman" w:hAnsi="Calibri" w:cs="Calibri"/>
                <w:b/>
                <w:bCs/>
                <w:color w:val="000000"/>
                <w:sz w:val="22"/>
                <w:lang w:eastAsia="pt-BR"/>
              </w:rPr>
              <w:t>/20)</w:t>
            </w:r>
          </w:p>
        </w:tc>
      </w:tr>
      <w:tr w:rsidR="003D2CBF" w:rsidRPr="003D2CBF" w14:paraId="2294B523" w14:textId="77777777" w:rsidTr="00CA56D5">
        <w:trPr>
          <w:trHeight w:val="300"/>
          <w:tblHeader/>
          <w:jc w:val="center"/>
        </w:trPr>
        <w:tc>
          <w:tcPr>
            <w:tcW w:w="678" w:type="pct"/>
            <w:vMerge/>
            <w:tcBorders>
              <w:top w:val="single" w:sz="4" w:space="0" w:color="auto"/>
              <w:bottom w:val="single" w:sz="4" w:space="0" w:color="auto"/>
            </w:tcBorders>
            <w:vAlign w:val="center"/>
            <w:hideMark/>
          </w:tcPr>
          <w:p w14:paraId="14324E9A" w14:textId="77777777" w:rsidR="003D2CBF" w:rsidRPr="003D2CBF" w:rsidRDefault="003D2CBF" w:rsidP="003D2CBF">
            <w:pPr>
              <w:spacing w:before="0" w:after="0"/>
              <w:jc w:val="left"/>
              <w:rPr>
                <w:rFonts w:ascii="Calibri" w:eastAsia="Times New Roman" w:hAnsi="Calibri" w:cs="Calibri"/>
                <w:b/>
                <w:bCs/>
                <w:color w:val="000000"/>
                <w:sz w:val="22"/>
                <w:lang w:eastAsia="pt-BR"/>
              </w:rPr>
            </w:pPr>
          </w:p>
        </w:tc>
        <w:tc>
          <w:tcPr>
            <w:tcW w:w="643" w:type="pct"/>
            <w:tcBorders>
              <w:top w:val="single" w:sz="4" w:space="0" w:color="auto"/>
              <w:bottom w:val="single" w:sz="4" w:space="0" w:color="auto"/>
            </w:tcBorders>
            <w:shd w:val="clear" w:color="auto" w:fill="auto"/>
            <w:noWrap/>
            <w:vAlign w:val="center"/>
            <w:hideMark/>
          </w:tcPr>
          <w:p w14:paraId="68FE2D4E" w14:textId="77777777" w:rsidR="003D2CBF" w:rsidRPr="003D2CBF" w:rsidRDefault="003D2CBF" w:rsidP="003D2CBF">
            <w:pPr>
              <w:spacing w:before="0" w:after="0"/>
              <w:jc w:val="center"/>
              <w:rPr>
                <w:rFonts w:ascii="Calibri" w:eastAsia="Times New Roman" w:hAnsi="Calibri" w:cs="Calibri"/>
                <w:b/>
                <w:bCs/>
                <w:color w:val="000000"/>
                <w:sz w:val="22"/>
                <w:lang w:eastAsia="pt-BR"/>
              </w:rPr>
            </w:pPr>
            <w:r w:rsidRPr="003D2CBF">
              <w:rPr>
                <w:rFonts w:ascii="Calibri" w:eastAsia="Times New Roman" w:hAnsi="Calibri" w:cs="Calibri"/>
                <w:b/>
                <w:bCs/>
                <w:color w:val="000000"/>
                <w:sz w:val="22"/>
                <w:lang w:eastAsia="pt-BR"/>
              </w:rPr>
              <w:t>Rio Guandu</w:t>
            </w:r>
          </w:p>
        </w:tc>
        <w:tc>
          <w:tcPr>
            <w:tcW w:w="505" w:type="pct"/>
            <w:tcBorders>
              <w:top w:val="single" w:sz="4" w:space="0" w:color="auto"/>
              <w:bottom w:val="single" w:sz="4" w:space="0" w:color="auto"/>
            </w:tcBorders>
            <w:shd w:val="clear" w:color="auto" w:fill="auto"/>
            <w:noWrap/>
            <w:vAlign w:val="center"/>
            <w:hideMark/>
          </w:tcPr>
          <w:p w14:paraId="7A1CEE7C" w14:textId="77777777" w:rsidR="003D2CBF" w:rsidRPr="003D2CBF" w:rsidRDefault="003D2CBF" w:rsidP="003D2CBF">
            <w:pPr>
              <w:spacing w:before="0" w:after="0"/>
              <w:jc w:val="center"/>
              <w:rPr>
                <w:rFonts w:ascii="Calibri" w:eastAsia="Times New Roman" w:hAnsi="Calibri" w:cs="Calibri"/>
                <w:b/>
                <w:bCs/>
                <w:color w:val="000000"/>
                <w:sz w:val="22"/>
                <w:lang w:eastAsia="pt-BR"/>
              </w:rPr>
            </w:pPr>
            <w:r w:rsidRPr="003D2CBF">
              <w:rPr>
                <w:rFonts w:ascii="Calibri" w:eastAsia="Times New Roman" w:hAnsi="Calibri" w:cs="Calibri"/>
                <w:b/>
                <w:bCs/>
                <w:color w:val="000000"/>
                <w:sz w:val="22"/>
                <w:lang w:eastAsia="pt-BR"/>
              </w:rPr>
              <w:t>Rio Doce</w:t>
            </w:r>
          </w:p>
        </w:tc>
        <w:tc>
          <w:tcPr>
            <w:tcW w:w="521" w:type="pct"/>
            <w:tcBorders>
              <w:top w:val="single" w:sz="4" w:space="0" w:color="auto"/>
              <w:bottom w:val="single" w:sz="4" w:space="0" w:color="auto"/>
            </w:tcBorders>
            <w:shd w:val="clear" w:color="auto" w:fill="auto"/>
            <w:noWrap/>
            <w:vAlign w:val="center"/>
            <w:hideMark/>
          </w:tcPr>
          <w:p w14:paraId="42F6137E" w14:textId="77777777" w:rsidR="003D2CBF" w:rsidRPr="003D2CBF" w:rsidRDefault="003D2CBF" w:rsidP="003D2CBF">
            <w:pPr>
              <w:spacing w:before="0" w:after="0"/>
              <w:jc w:val="center"/>
              <w:rPr>
                <w:rFonts w:ascii="Calibri" w:eastAsia="Times New Roman" w:hAnsi="Calibri" w:cs="Calibri"/>
                <w:b/>
                <w:bCs/>
                <w:color w:val="000000"/>
                <w:sz w:val="22"/>
                <w:lang w:eastAsia="pt-BR"/>
              </w:rPr>
            </w:pPr>
            <w:r w:rsidRPr="003D2CBF">
              <w:rPr>
                <w:rFonts w:ascii="Calibri" w:eastAsia="Times New Roman" w:hAnsi="Calibri" w:cs="Calibri"/>
                <w:b/>
                <w:bCs/>
                <w:color w:val="000000"/>
                <w:sz w:val="22"/>
                <w:lang w:eastAsia="pt-BR"/>
              </w:rPr>
              <w:t>Lagos</w:t>
            </w:r>
          </w:p>
        </w:tc>
        <w:tc>
          <w:tcPr>
            <w:tcW w:w="462" w:type="pct"/>
            <w:tcBorders>
              <w:top w:val="single" w:sz="4" w:space="0" w:color="auto"/>
              <w:bottom w:val="single" w:sz="4" w:space="0" w:color="auto"/>
            </w:tcBorders>
            <w:shd w:val="clear" w:color="auto" w:fill="auto"/>
            <w:noWrap/>
            <w:vAlign w:val="center"/>
            <w:hideMark/>
          </w:tcPr>
          <w:p w14:paraId="755699C5" w14:textId="77777777" w:rsidR="003D2CBF" w:rsidRPr="003D2CBF" w:rsidRDefault="003D2CBF" w:rsidP="003D2CBF">
            <w:pPr>
              <w:spacing w:before="0" w:after="0"/>
              <w:jc w:val="center"/>
              <w:rPr>
                <w:rFonts w:ascii="Calibri" w:eastAsia="Times New Roman" w:hAnsi="Calibri" w:cs="Calibri"/>
                <w:b/>
                <w:bCs/>
                <w:color w:val="000000"/>
                <w:sz w:val="22"/>
                <w:lang w:eastAsia="pt-BR"/>
              </w:rPr>
            </w:pPr>
            <w:r w:rsidRPr="003D2CBF">
              <w:rPr>
                <w:rFonts w:ascii="Calibri" w:eastAsia="Times New Roman" w:hAnsi="Calibri" w:cs="Calibri"/>
                <w:b/>
                <w:bCs/>
                <w:color w:val="000000"/>
                <w:sz w:val="22"/>
                <w:lang w:eastAsia="pt-BR"/>
              </w:rPr>
              <w:t>Lagoas</w:t>
            </w:r>
          </w:p>
        </w:tc>
        <w:tc>
          <w:tcPr>
            <w:tcW w:w="643" w:type="pct"/>
            <w:tcBorders>
              <w:top w:val="single" w:sz="4" w:space="0" w:color="auto"/>
              <w:bottom w:val="single" w:sz="4" w:space="0" w:color="auto"/>
            </w:tcBorders>
            <w:shd w:val="clear" w:color="auto" w:fill="auto"/>
            <w:noWrap/>
            <w:vAlign w:val="center"/>
            <w:hideMark/>
          </w:tcPr>
          <w:p w14:paraId="165601F8" w14:textId="77777777" w:rsidR="003D2CBF" w:rsidRPr="003D2CBF" w:rsidRDefault="003D2CBF" w:rsidP="003D2CBF">
            <w:pPr>
              <w:spacing w:before="0" w:after="0"/>
              <w:jc w:val="center"/>
              <w:rPr>
                <w:rFonts w:ascii="Calibri" w:eastAsia="Times New Roman" w:hAnsi="Calibri" w:cs="Calibri"/>
                <w:b/>
                <w:bCs/>
                <w:color w:val="000000"/>
                <w:sz w:val="22"/>
                <w:lang w:eastAsia="pt-BR"/>
              </w:rPr>
            </w:pPr>
            <w:r w:rsidRPr="003D2CBF">
              <w:rPr>
                <w:rFonts w:ascii="Calibri" w:eastAsia="Times New Roman" w:hAnsi="Calibri" w:cs="Calibri"/>
                <w:b/>
                <w:bCs/>
                <w:color w:val="000000"/>
                <w:sz w:val="22"/>
                <w:lang w:eastAsia="pt-BR"/>
              </w:rPr>
              <w:t>Rio Guandu</w:t>
            </w:r>
          </w:p>
        </w:tc>
        <w:tc>
          <w:tcPr>
            <w:tcW w:w="505" w:type="pct"/>
            <w:tcBorders>
              <w:top w:val="single" w:sz="4" w:space="0" w:color="auto"/>
              <w:bottom w:val="single" w:sz="4" w:space="0" w:color="auto"/>
            </w:tcBorders>
            <w:shd w:val="clear" w:color="auto" w:fill="auto"/>
            <w:noWrap/>
            <w:vAlign w:val="center"/>
            <w:hideMark/>
          </w:tcPr>
          <w:p w14:paraId="7C96540B" w14:textId="77777777" w:rsidR="003D2CBF" w:rsidRPr="003D2CBF" w:rsidRDefault="003D2CBF" w:rsidP="003D2CBF">
            <w:pPr>
              <w:spacing w:before="0" w:after="0"/>
              <w:jc w:val="center"/>
              <w:rPr>
                <w:rFonts w:ascii="Calibri" w:eastAsia="Times New Roman" w:hAnsi="Calibri" w:cs="Calibri"/>
                <w:b/>
                <w:bCs/>
                <w:color w:val="000000"/>
                <w:sz w:val="22"/>
                <w:lang w:eastAsia="pt-BR"/>
              </w:rPr>
            </w:pPr>
            <w:r w:rsidRPr="003D2CBF">
              <w:rPr>
                <w:rFonts w:ascii="Calibri" w:eastAsia="Times New Roman" w:hAnsi="Calibri" w:cs="Calibri"/>
                <w:b/>
                <w:bCs/>
                <w:color w:val="000000"/>
                <w:sz w:val="22"/>
                <w:lang w:eastAsia="pt-BR"/>
              </w:rPr>
              <w:t>Rio Doce</w:t>
            </w:r>
          </w:p>
        </w:tc>
        <w:tc>
          <w:tcPr>
            <w:tcW w:w="521" w:type="pct"/>
            <w:tcBorders>
              <w:top w:val="single" w:sz="4" w:space="0" w:color="auto"/>
              <w:bottom w:val="single" w:sz="4" w:space="0" w:color="auto"/>
            </w:tcBorders>
            <w:shd w:val="clear" w:color="auto" w:fill="auto"/>
            <w:noWrap/>
            <w:vAlign w:val="center"/>
            <w:hideMark/>
          </w:tcPr>
          <w:p w14:paraId="2E2318BE" w14:textId="77777777" w:rsidR="003D2CBF" w:rsidRPr="003D2CBF" w:rsidRDefault="003D2CBF" w:rsidP="003D2CBF">
            <w:pPr>
              <w:spacing w:before="0" w:after="0"/>
              <w:jc w:val="center"/>
              <w:rPr>
                <w:rFonts w:ascii="Calibri" w:eastAsia="Times New Roman" w:hAnsi="Calibri" w:cs="Calibri"/>
                <w:b/>
                <w:bCs/>
                <w:color w:val="000000"/>
                <w:sz w:val="22"/>
                <w:lang w:eastAsia="pt-BR"/>
              </w:rPr>
            </w:pPr>
            <w:r w:rsidRPr="003D2CBF">
              <w:rPr>
                <w:rFonts w:ascii="Calibri" w:eastAsia="Times New Roman" w:hAnsi="Calibri" w:cs="Calibri"/>
                <w:b/>
                <w:bCs/>
                <w:color w:val="000000"/>
                <w:sz w:val="22"/>
                <w:lang w:eastAsia="pt-BR"/>
              </w:rPr>
              <w:t>Lagos</w:t>
            </w:r>
          </w:p>
        </w:tc>
        <w:tc>
          <w:tcPr>
            <w:tcW w:w="521" w:type="pct"/>
            <w:tcBorders>
              <w:top w:val="single" w:sz="4" w:space="0" w:color="auto"/>
              <w:bottom w:val="single" w:sz="4" w:space="0" w:color="auto"/>
            </w:tcBorders>
            <w:shd w:val="clear" w:color="auto" w:fill="auto"/>
            <w:noWrap/>
            <w:vAlign w:val="center"/>
            <w:hideMark/>
          </w:tcPr>
          <w:p w14:paraId="1378F67C" w14:textId="77777777" w:rsidR="003D2CBF" w:rsidRPr="003D2CBF" w:rsidRDefault="003D2CBF" w:rsidP="003D2CBF">
            <w:pPr>
              <w:spacing w:before="0" w:after="0"/>
              <w:jc w:val="center"/>
              <w:rPr>
                <w:rFonts w:ascii="Calibri" w:eastAsia="Times New Roman" w:hAnsi="Calibri" w:cs="Calibri"/>
                <w:b/>
                <w:bCs/>
                <w:color w:val="000000"/>
                <w:sz w:val="22"/>
                <w:lang w:eastAsia="pt-BR"/>
              </w:rPr>
            </w:pPr>
            <w:r w:rsidRPr="003D2CBF">
              <w:rPr>
                <w:rFonts w:ascii="Calibri" w:eastAsia="Times New Roman" w:hAnsi="Calibri" w:cs="Calibri"/>
                <w:b/>
                <w:bCs/>
                <w:color w:val="000000"/>
                <w:sz w:val="22"/>
                <w:lang w:eastAsia="pt-BR"/>
              </w:rPr>
              <w:t>Lagoas</w:t>
            </w:r>
          </w:p>
        </w:tc>
      </w:tr>
      <w:tr w:rsidR="003D2CBF" w:rsidRPr="003D2CBF" w14:paraId="2B5F55BD" w14:textId="77777777" w:rsidTr="00CA56D5">
        <w:trPr>
          <w:trHeight w:val="300"/>
          <w:jc w:val="center"/>
        </w:trPr>
        <w:tc>
          <w:tcPr>
            <w:tcW w:w="678" w:type="pct"/>
            <w:tcBorders>
              <w:top w:val="single" w:sz="4" w:space="0" w:color="auto"/>
            </w:tcBorders>
            <w:shd w:val="clear" w:color="auto" w:fill="auto"/>
            <w:noWrap/>
            <w:vAlign w:val="center"/>
            <w:hideMark/>
          </w:tcPr>
          <w:p w14:paraId="3DF5BB22"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Al</w:t>
            </w:r>
          </w:p>
        </w:tc>
        <w:tc>
          <w:tcPr>
            <w:tcW w:w="643" w:type="pct"/>
            <w:tcBorders>
              <w:top w:val="single" w:sz="4" w:space="0" w:color="auto"/>
            </w:tcBorders>
            <w:shd w:val="clear" w:color="auto" w:fill="auto"/>
            <w:noWrap/>
            <w:vAlign w:val="center"/>
            <w:hideMark/>
          </w:tcPr>
          <w:p w14:paraId="1718E2C4"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19994,2</w:t>
            </w:r>
          </w:p>
        </w:tc>
        <w:tc>
          <w:tcPr>
            <w:tcW w:w="505" w:type="pct"/>
            <w:tcBorders>
              <w:top w:val="single" w:sz="4" w:space="0" w:color="auto"/>
            </w:tcBorders>
            <w:shd w:val="clear" w:color="auto" w:fill="auto"/>
            <w:noWrap/>
            <w:vAlign w:val="center"/>
            <w:hideMark/>
          </w:tcPr>
          <w:p w14:paraId="30C043C2"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17066,8</w:t>
            </w:r>
          </w:p>
        </w:tc>
        <w:tc>
          <w:tcPr>
            <w:tcW w:w="521" w:type="pct"/>
            <w:tcBorders>
              <w:top w:val="single" w:sz="4" w:space="0" w:color="auto"/>
            </w:tcBorders>
            <w:shd w:val="clear" w:color="auto" w:fill="auto"/>
            <w:noWrap/>
            <w:vAlign w:val="center"/>
            <w:hideMark/>
          </w:tcPr>
          <w:p w14:paraId="5AF4390D"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146401,8</w:t>
            </w:r>
          </w:p>
        </w:tc>
        <w:tc>
          <w:tcPr>
            <w:tcW w:w="462" w:type="pct"/>
            <w:tcBorders>
              <w:top w:val="single" w:sz="4" w:space="0" w:color="auto"/>
            </w:tcBorders>
            <w:shd w:val="clear" w:color="auto" w:fill="auto"/>
            <w:noWrap/>
            <w:vAlign w:val="center"/>
            <w:hideMark/>
          </w:tcPr>
          <w:p w14:paraId="663D7DD0"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68637,6</w:t>
            </w:r>
          </w:p>
        </w:tc>
        <w:tc>
          <w:tcPr>
            <w:tcW w:w="643" w:type="pct"/>
            <w:tcBorders>
              <w:top w:val="single" w:sz="4" w:space="0" w:color="auto"/>
            </w:tcBorders>
            <w:shd w:val="clear" w:color="auto" w:fill="auto"/>
            <w:noWrap/>
            <w:vAlign w:val="center"/>
            <w:hideMark/>
          </w:tcPr>
          <w:p w14:paraId="60108973"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10855,3</w:t>
            </w:r>
          </w:p>
        </w:tc>
        <w:tc>
          <w:tcPr>
            <w:tcW w:w="505" w:type="pct"/>
            <w:tcBorders>
              <w:top w:val="single" w:sz="4" w:space="0" w:color="auto"/>
            </w:tcBorders>
            <w:shd w:val="clear" w:color="auto" w:fill="auto"/>
            <w:noWrap/>
            <w:vAlign w:val="center"/>
            <w:hideMark/>
          </w:tcPr>
          <w:p w14:paraId="7575E866"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14005,3</w:t>
            </w:r>
          </w:p>
        </w:tc>
        <w:tc>
          <w:tcPr>
            <w:tcW w:w="521" w:type="pct"/>
            <w:tcBorders>
              <w:top w:val="single" w:sz="4" w:space="0" w:color="auto"/>
            </w:tcBorders>
            <w:shd w:val="clear" w:color="auto" w:fill="auto"/>
            <w:noWrap/>
            <w:vAlign w:val="center"/>
            <w:hideMark/>
          </w:tcPr>
          <w:p w14:paraId="47619946"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130452,9</w:t>
            </w:r>
          </w:p>
        </w:tc>
        <w:tc>
          <w:tcPr>
            <w:tcW w:w="521" w:type="pct"/>
            <w:tcBorders>
              <w:top w:val="single" w:sz="4" w:space="0" w:color="auto"/>
            </w:tcBorders>
            <w:shd w:val="clear" w:color="auto" w:fill="auto"/>
            <w:noWrap/>
            <w:vAlign w:val="center"/>
            <w:hideMark/>
          </w:tcPr>
          <w:p w14:paraId="0641F4F7"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40847,1</w:t>
            </w:r>
          </w:p>
        </w:tc>
      </w:tr>
      <w:tr w:rsidR="003D2CBF" w:rsidRPr="003D2CBF" w14:paraId="0F7D1006" w14:textId="77777777" w:rsidTr="00CA56D5">
        <w:trPr>
          <w:trHeight w:val="300"/>
          <w:jc w:val="center"/>
        </w:trPr>
        <w:tc>
          <w:tcPr>
            <w:tcW w:w="678" w:type="pct"/>
            <w:shd w:val="clear" w:color="auto" w:fill="auto"/>
            <w:noWrap/>
            <w:vAlign w:val="center"/>
            <w:hideMark/>
          </w:tcPr>
          <w:p w14:paraId="0368FB5F"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As</w:t>
            </w:r>
          </w:p>
        </w:tc>
        <w:tc>
          <w:tcPr>
            <w:tcW w:w="643" w:type="pct"/>
            <w:shd w:val="clear" w:color="auto" w:fill="auto"/>
            <w:noWrap/>
            <w:vAlign w:val="center"/>
            <w:hideMark/>
          </w:tcPr>
          <w:p w14:paraId="6D801877"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1,1</w:t>
            </w:r>
          </w:p>
        </w:tc>
        <w:tc>
          <w:tcPr>
            <w:tcW w:w="505" w:type="pct"/>
            <w:shd w:val="clear" w:color="auto" w:fill="auto"/>
            <w:noWrap/>
            <w:vAlign w:val="center"/>
            <w:hideMark/>
          </w:tcPr>
          <w:p w14:paraId="66378CD5"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6,3</w:t>
            </w:r>
          </w:p>
        </w:tc>
        <w:tc>
          <w:tcPr>
            <w:tcW w:w="521" w:type="pct"/>
            <w:shd w:val="clear" w:color="auto" w:fill="auto"/>
            <w:noWrap/>
            <w:vAlign w:val="center"/>
            <w:hideMark/>
          </w:tcPr>
          <w:p w14:paraId="7C22AE1A"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10,6</w:t>
            </w:r>
          </w:p>
        </w:tc>
        <w:tc>
          <w:tcPr>
            <w:tcW w:w="462" w:type="pct"/>
            <w:shd w:val="clear" w:color="auto" w:fill="auto"/>
            <w:noWrap/>
            <w:vAlign w:val="center"/>
            <w:hideMark/>
          </w:tcPr>
          <w:p w14:paraId="597E1CC5"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23,4</w:t>
            </w:r>
          </w:p>
        </w:tc>
        <w:tc>
          <w:tcPr>
            <w:tcW w:w="643" w:type="pct"/>
            <w:shd w:val="clear" w:color="auto" w:fill="auto"/>
            <w:noWrap/>
            <w:vAlign w:val="center"/>
            <w:hideMark/>
          </w:tcPr>
          <w:p w14:paraId="56229F2F"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0</w:t>
            </w:r>
          </w:p>
        </w:tc>
        <w:tc>
          <w:tcPr>
            <w:tcW w:w="505" w:type="pct"/>
            <w:shd w:val="clear" w:color="auto" w:fill="auto"/>
            <w:noWrap/>
            <w:vAlign w:val="center"/>
            <w:hideMark/>
          </w:tcPr>
          <w:p w14:paraId="0941C451"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3,6</w:t>
            </w:r>
          </w:p>
        </w:tc>
        <w:tc>
          <w:tcPr>
            <w:tcW w:w="521" w:type="pct"/>
            <w:shd w:val="clear" w:color="auto" w:fill="auto"/>
            <w:noWrap/>
            <w:vAlign w:val="center"/>
            <w:hideMark/>
          </w:tcPr>
          <w:p w14:paraId="3B14FCAA"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6,9</w:t>
            </w:r>
          </w:p>
        </w:tc>
        <w:tc>
          <w:tcPr>
            <w:tcW w:w="521" w:type="pct"/>
            <w:shd w:val="clear" w:color="auto" w:fill="auto"/>
            <w:noWrap/>
            <w:vAlign w:val="center"/>
            <w:hideMark/>
          </w:tcPr>
          <w:p w14:paraId="2F2DEA2A"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28,8</w:t>
            </w:r>
          </w:p>
        </w:tc>
      </w:tr>
      <w:tr w:rsidR="003D2CBF" w:rsidRPr="003D2CBF" w14:paraId="7FB9B7F4" w14:textId="77777777" w:rsidTr="00CA56D5">
        <w:trPr>
          <w:trHeight w:val="300"/>
          <w:jc w:val="center"/>
        </w:trPr>
        <w:tc>
          <w:tcPr>
            <w:tcW w:w="678" w:type="pct"/>
            <w:shd w:val="clear" w:color="auto" w:fill="auto"/>
            <w:noWrap/>
            <w:vAlign w:val="center"/>
            <w:hideMark/>
          </w:tcPr>
          <w:p w14:paraId="4BDC6396"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Ba</w:t>
            </w:r>
          </w:p>
        </w:tc>
        <w:tc>
          <w:tcPr>
            <w:tcW w:w="643" w:type="pct"/>
            <w:shd w:val="clear" w:color="auto" w:fill="auto"/>
            <w:noWrap/>
            <w:vAlign w:val="center"/>
            <w:hideMark/>
          </w:tcPr>
          <w:p w14:paraId="60E54E2D"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309,6</w:t>
            </w:r>
          </w:p>
        </w:tc>
        <w:tc>
          <w:tcPr>
            <w:tcW w:w="505" w:type="pct"/>
            <w:shd w:val="clear" w:color="auto" w:fill="auto"/>
            <w:noWrap/>
            <w:vAlign w:val="center"/>
            <w:hideMark/>
          </w:tcPr>
          <w:p w14:paraId="57F508A3"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245</w:t>
            </w:r>
          </w:p>
        </w:tc>
        <w:tc>
          <w:tcPr>
            <w:tcW w:w="521" w:type="pct"/>
            <w:shd w:val="clear" w:color="auto" w:fill="auto"/>
            <w:noWrap/>
            <w:vAlign w:val="center"/>
            <w:hideMark/>
          </w:tcPr>
          <w:p w14:paraId="6E592B74"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230</w:t>
            </w:r>
          </w:p>
        </w:tc>
        <w:tc>
          <w:tcPr>
            <w:tcW w:w="462" w:type="pct"/>
            <w:shd w:val="clear" w:color="auto" w:fill="auto"/>
            <w:noWrap/>
            <w:vAlign w:val="center"/>
            <w:hideMark/>
          </w:tcPr>
          <w:p w14:paraId="6DE503F7"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241,1</w:t>
            </w:r>
          </w:p>
        </w:tc>
        <w:tc>
          <w:tcPr>
            <w:tcW w:w="643" w:type="pct"/>
            <w:shd w:val="clear" w:color="auto" w:fill="auto"/>
            <w:noWrap/>
            <w:vAlign w:val="center"/>
            <w:hideMark/>
          </w:tcPr>
          <w:p w14:paraId="05D5FA45"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301</w:t>
            </w:r>
          </w:p>
        </w:tc>
        <w:tc>
          <w:tcPr>
            <w:tcW w:w="505" w:type="pct"/>
            <w:shd w:val="clear" w:color="auto" w:fill="auto"/>
            <w:noWrap/>
            <w:vAlign w:val="center"/>
            <w:hideMark/>
          </w:tcPr>
          <w:p w14:paraId="7CEECCF4"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266,6</w:t>
            </w:r>
          </w:p>
        </w:tc>
        <w:tc>
          <w:tcPr>
            <w:tcW w:w="521" w:type="pct"/>
            <w:shd w:val="clear" w:color="auto" w:fill="auto"/>
            <w:noWrap/>
            <w:vAlign w:val="center"/>
            <w:hideMark/>
          </w:tcPr>
          <w:p w14:paraId="7039AD11"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217,4</w:t>
            </w:r>
          </w:p>
        </w:tc>
        <w:tc>
          <w:tcPr>
            <w:tcW w:w="521" w:type="pct"/>
            <w:shd w:val="clear" w:color="auto" w:fill="auto"/>
            <w:noWrap/>
            <w:vAlign w:val="center"/>
            <w:hideMark/>
          </w:tcPr>
          <w:p w14:paraId="6FB14BE6"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177,9</w:t>
            </w:r>
          </w:p>
        </w:tc>
      </w:tr>
      <w:tr w:rsidR="003D2CBF" w:rsidRPr="003D2CBF" w14:paraId="68E7A8C7" w14:textId="77777777" w:rsidTr="00CA56D5">
        <w:trPr>
          <w:trHeight w:val="300"/>
          <w:jc w:val="center"/>
        </w:trPr>
        <w:tc>
          <w:tcPr>
            <w:tcW w:w="678" w:type="pct"/>
            <w:shd w:val="clear" w:color="auto" w:fill="auto"/>
            <w:noWrap/>
            <w:vAlign w:val="center"/>
            <w:hideMark/>
          </w:tcPr>
          <w:p w14:paraId="12D30028"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Cr</w:t>
            </w:r>
          </w:p>
        </w:tc>
        <w:tc>
          <w:tcPr>
            <w:tcW w:w="643" w:type="pct"/>
            <w:shd w:val="clear" w:color="auto" w:fill="auto"/>
            <w:noWrap/>
            <w:vAlign w:val="center"/>
            <w:hideMark/>
          </w:tcPr>
          <w:p w14:paraId="43B9C364"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10,5</w:t>
            </w:r>
          </w:p>
        </w:tc>
        <w:tc>
          <w:tcPr>
            <w:tcW w:w="505" w:type="pct"/>
            <w:shd w:val="clear" w:color="auto" w:fill="auto"/>
            <w:noWrap/>
            <w:vAlign w:val="center"/>
            <w:hideMark/>
          </w:tcPr>
          <w:p w14:paraId="4889AA65"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14</w:t>
            </w:r>
          </w:p>
        </w:tc>
        <w:tc>
          <w:tcPr>
            <w:tcW w:w="521" w:type="pct"/>
            <w:shd w:val="clear" w:color="auto" w:fill="auto"/>
            <w:noWrap/>
            <w:vAlign w:val="center"/>
            <w:hideMark/>
          </w:tcPr>
          <w:p w14:paraId="645AC113"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75,8</w:t>
            </w:r>
          </w:p>
        </w:tc>
        <w:tc>
          <w:tcPr>
            <w:tcW w:w="462" w:type="pct"/>
            <w:shd w:val="clear" w:color="auto" w:fill="auto"/>
            <w:noWrap/>
            <w:vAlign w:val="center"/>
            <w:hideMark/>
          </w:tcPr>
          <w:p w14:paraId="08ADF4AF"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68,3</w:t>
            </w:r>
          </w:p>
        </w:tc>
        <w:tc>
          <w:tcPr>
            <w:tcW w:w="643" w:type="pct"/>
            <w:shd w:val="clear" w:color="auto" w:fill="auto"/>
            <w:noWrap/>
            <w:vAlign w:val="center"/>
            <w:hideMark/>
          </w:tcPr>
          <w:p w14:paraId="14909DF1"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7</w:t>
            </w:r>
          </w:p>
        </w:tc>
        <w:tc>
          <w:tcPr>
            <w:tcW w:w="505" w:type="pct"/>
            <w:shd w:val="clear" w:color="auto" w:fill="auto"/>
            <w:noWrap/>
            <w:vAlign w:val="center"/>
            <w:hideMark/>
          </w:tcPr>
          <w:p w14:paraId="0B07DB27"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10,5</w:t>
            </w:r>
          </w:p>
        </w:tc>
        <w:tc>
          <w:tcPr>
            <w:tcW w:w="521" w:type="pct"/>
            <w:shd w:val="clear" w:color="auto" w:fill="auto"/>
            <w:noWrap/>
            <w:vAlign w:val="center"/>
            <w:hideMark/>
          </w:tcPr>
          <w:p w14:paraId="476F2E46"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55</w:t>
            </w:r>
          </w:p>
        </w:tc>
        <w:tc>
          <w:tcPr>
            <w:tcW w:w="521" w:type="pct"/>
            <w:shd w:val="clear" w:color="auto" w:fill="auto"/>
            <w:noWrap/>
            <w:vAlign w:val="center"/>
            <w:hideMark/>
          </w:tcPr>
          <w:p w14:paraId="0F4F1BBC"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42</w:t>
            </w:r>
          </w:p>
        </w:tc>
      </w:tr>
      <w:tr w:rsidR="003D2CBF" w:rsidRPr="003D2CBF" w14:paraId="5E141B8F" w14:textId="77777777" w:rsidTr="00CA56D5">
        <w:trPr>
          <w:trHeight w:val="300"/>
          <w:jc w:val="center"/>
        </w:trPr>
        <w:tc>
          <w:tcPr>
            <w:tcW w:w="678" w:type="pct"/>
            <w:shd w:val="clear" w:color="auto" w:fill="auto"/>
            <w:noWrap/>
            <w:vAlign w:val="center"/>
            <w:hideMark/>
          </w:tcPr>
          <w:p w14:paraId="1A42BDF3"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Cu</w:t>
            </w:r>
          </w:p>
        </w:tc>
        <w:tc>
          <w:tcPr>
            <w:tcW w:w="643" w:type="pct"/>
            <w:shd w:val="clear" w:color="auto" w:fill="auto"/>
            <w:noWrap/>
            <w:vAlign w:val="center"/>
            <w:hideMark/>
          </w:tcPr>
          <w:p w14:paraId="0D7DDD16"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19,4</w:t>
            </w:r>
          </w:p>
        </w:tc>
        <w:tc>
          <w:tcPr>
            <w:tcW w:w="505" w:type="pct"/>
            <w:shd w:val="clear" w:color="auto" w:fill="auto"/>
            <w:noWrap/>
            <w:vAlign w:val="center"/>
            <w:hideMark/>
          </w:tcPr>
          <w:p w14:paraId="3097453F"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18,1</w:t>
            </w:r>
          </w:p>
        </w:tc>
        <w:tc>
          <w:tcPr>
            <w:tcW w:w="521" w:type="pct"/>
            <w:shd w:val="clear" w:color="auto" w:fill="auto"/>
            <w:noWrap/>
            <w:vAlign w:val="center"/>
            <w:hideMark/>
          </w:tcPr>
          <w:p w14:paraId="36485AD4"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31,3</w:t>
            </w:r>
          </w:p>
        </w:tc>
        <w:tc>
          <w:tcPr>
            <w:tcW w:w="462" w:type="pct"/>
            <w:shd w:val="clear" w:color="auto" w:fill="auto"/>
            <w:noWrap/>
            <w:vAlign w:val="center"/>
            <w:hideMark/>
          </w:tcPr>
          <w:p w14:paraId="10D141CC"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29</w:t>
            </w:r>
          </w:p>
        </w:tc>
        <w:tc>
          <w:tcPr>
            <w:tcW w:w="643" w:type="pct"/>
            <w:shd w:val="clear" w:color="auto" w:fill="auto"/>
            <w:noWrap/>
            <w:vAlign w:val="center"/>
            <w:hideMark/>
          </w:tcPr>
          <w:p w14:paraId="46D5ED3A"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13,4</w:t>
            </w:r>
          </w:p>
        </w:tc>
        <w:tc>
          <w:tcPr>
            <w:tcW w:w="505" w:type="pct"/>
            <w:shd w:val="clear" w:color="auto" w:fill="auto"/>
            <w:noWrap/>
            <w:vAlign w:val="center"/>
            <w:hideMark/>
          </w:tcPr>
          <w:p w14:paraId="17FA93CD"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9,5</w:t>
            </w:r>
          </w:p>
        </w:tc>
        <w:tc>
          <w:tcPr>
            <w:tcW w:w="521" w:type="pct"/>
            <w:shd w:val="clear" w:color="auto" w:fill="auto"/>
            <w:noWrap/>
            <w:vAlign w:val="center"/>
            <w:hideMark/>
          </w:tcPr>
          <w:p w14:paraId="0304EF20"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27,9</w:t>
            </w:r>
          </w:p>
        </w:tc>
        <w:tc>
          <w:tcPr>
            <w:tcW w:w="521" w:type="pct"/>
            <w:shd w:val="clear" w:color="auto" w:fill="auto"/>
            <w:noWrap/>
            <w:vAlign w:val="center"/>
            <w:hideMark/>
          </w:tcPr>
          <w:p w14:paraId="6F565552"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14</w:t>
            </w:r>
          </w:p>
        </w:tc>
      </w:tr>
      <w:tr w:rsidR="003D2CBF" w:rsidRPr="003D2CBF" w14:paraId="25CC9DB4" w14:textId="77777777" w:rsidTr="00CA56D5">
        <w:trPr>
          <w:trHeight w:val="300"/>
          <w:jc w:val="center"/>
        </w:trPr>
        <w:tc>
          <w:tcPr>
            <w:tcW w:w="678" w:type="pct"/>
            <w:shd w:val="clear" w:color="auto" w:fill="auto"/>
            <w:noWrap/>
            <w:vAlign w:val="center"/>
            <w:hideMark/>
          </w:tcPr>
          <w:p w14:paraId="44721597"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Fe</w:t>
            </w:r>
          </w:p>
        </w:tc>
        <w:tc>
          <w:tcPr>
            <w:tcW w:w="643" w:type="pct"/>
            <w:shd w:val="clear" w:color="auto" w:fill="auto"/>
            <w:noWrap/>
            <w:vAlign w:val="center"/>
            <w:hideMark/>
          </w:tcPr>
          <w:p w14:paraId="67B3171F"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6854,1</w:t>
            </w:r>
          </w:p>
        </w:tc>
        <w:tc>
          <w:tcPr>
            <w:tcW w:w="505" w:type="pct"/>
            <w:shd w:val="clear" w:color="auto" w:fill="auto"/>
            <w:noWrap/>
            <w:vAlign w:val="center"/>
            <w:hideMark/>
          </w:tcPr>
          <w:p w14:paraId="5C8AF539"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12074,5</w:t>
            </w:r>
          </w:p>
        </w:tc>
        <w:tc>
          <w:tcPr>
            <w:tcW w:w="521" w:type="pct"/>
            <w:shd w:val="clear" w:color="auto" w:fill="auto"/>
            <w:noWrap/>
            <w:vAlign w:val="center"/>
            <w:hideMark/>
          </w:tcPr>
          <w:p w14:paraId="59EE7A4D"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74603,7</w:t>
            </w:r>
          </w:p>
        </w:tc>
        <w:tc>
          <w:tcPr>
            <w:tcW w:w="462" w:type="pct"/>
            <w:shd w:val="clear" w:color="auto" w:fill="auto"/>
            <w:noWrap/>
            <w:vAlign w:val="center"/>
            <w:hideMark/>
          </w:tcPr>
          <w:p w14:paraId="2CD6B9B6"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44036</w:t>
            </w:r>
          </w:p>
        </w:tc>
        <w:tc>
          <w:tcPr>
            <w:tcW w:w="643" w:type="pct"/>
            <w:shd w:val="clear" w:color="auto" w:fill="auto"/>
            <w:noWrap/>
            <w:vAlign w:val="center"/>
            <w:hideMark/>
          </w:tcPr>
          <w:p w14:paraId="449F3782"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4594,8</w:t>
            </w:r>
          </w:p>
        </w:tc>
        <w:tc>
          <w:tcPr>
            <w:tcW w:w="505" w:type="pct"/>
            <w:shd w:val="clear" w:color="auto" w:fill="auto"/>
            <w:noWrap/>
            <w:vAlign w:val="center"/>
            <w:hideMark/>
          </w:tcPr>
          <w:p w14:paraId="2B215F81"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12289,3</w:t>
            </w:r>
          </w:p>
        </w:tc>
        <w:tc>
          <w:tcPr>
            <w:tcW w:w="521" w:type="pct"/>
            <w:shd w:val="clear" w:color="auto" w:fill="auto"/>
            <w:noWrap/>
            <w:vAlign w:val="center"/>
            <w:hideMark/>
          </w:tcPr>
          <w:p w14:paraId="3A599335"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83447,5</w:t>
            </w:r>
          </w:p>
        </w:tc>
        <w:tc>
          <w:tcPr>
            <w:tcW w:w="521" w:type="pct"/>
            <w:shd w:val="clear" w:color="auto" w:fill="auto"/>
            <w:noWrap/>
            <w:vAlign w:val="center"/>
            <w:hideMark/>
          </w:tcPr>
          <w:p w14:paraId="19712CB3"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180376,4</w:t>
            </w:r>
          </w:p>
        </w:tc>
      </w:tr>
      <w:tr w:rsidR="003D2CBF" w:rsidRPr="003D2CBF" w14:paraId="46CC79FA" w14:textId="77777777" w:rsidTr="00CA56D5">
        <w:trPr>
          <w:trHeight w:val="300"/>
          <w:jc w:val="center"/>
        </w:trPr>
        <w:tc>
          <w:tcPr>
            <w:tcW w:w="678" w:type="pct"/>
            <w:shd w:val="clear" w:color="auto" w:fill="auto"/>
            <w:noWrap/>
            <w:vAlign w:val="center"/>
            <w:hideMark/>
          </w:tcPr>
          <w:p w14:paraId="35CAD197"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Mn</w:t>
            </w:r>
          </w:p>
        </w:tc>
        <w:tc>
          <w:tcPr>
            <w:tcW w:w="643" w:type="pct"/>
            <w:shd w:val="clear" w:color="auto" w:fill="auto"/>
            <w:noWrap/>
            <w:vAlign w:val="center"/>
            <w:hideMark/>
          </w:tcPr>
          <w:p w14:paraId="40D76778"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121,5</w:t>
            </w:r>
          </w:p>
        </w:tc>
        <w:tc>
          <w:tcPr>
            <w:tcW w:w="505" w:type="pct"/>
            <w:shd w:val="clear" w:color="auto" w:fill="auto"/>
            <w:noWrap/>
            <w:vAlign w:val="center"/>
            <w:hideMark/>
          </w:tcPr>
          <w:p w14:paraId="22A949BA"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145,7</w:t>
            </w:r>
          </w:p>
        </w:tc>
        <w:tc>
          <w:tcPr>
            <w:tcW w:w="521" w:type="pct"/>
            <w:shd w:val="clear" w:color="auto" w:fill="auto"/>
            <w:noWrap/>
            <w:vAlign w:val="center"/>
            <w:hideMark/>
          </w:tcPr>
          <w:p w14:paraId="537E23F5"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691,8</w:t>
            </w:r>
          </w:p>
        </w:tc>
        <w:tc>
          <w:tcPr>
            <w:tcW w:w="462" w:type="pct"/>
            <w:shd w:val="clear" w:color="auto" w:fill="auto"/>
            <w:noWrap/>
            <w:vAlign w:val="center"/>
            <w:hideMark/>
          </w:tcPr>
          <w:p w14:paraId="29366178"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751,3</w:t>
            </w:r>
          </w:p>
        </w:tc>
        <w:tc>
          <w:tcPr>
            <w:tcW w:w="643" w:type="pct"/>
            <w:shd w:val="clear" w:color="auto" w:fill="auto"/>
            <w:noWrap/>
            <w:vAlign w:val="center"/>
            <w:hideMark/>
          </w:tcPr>
          <w:p w14:paraId="26460EEA"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66,2</w:t>
            </w:r>
          </w:p>
        </w:tc>
        <w:tc>
          <w:tcPr>
            <w:tcW w:w="505" w:type="pct"/>
            <w:shd w:val="clear" w:color="auto" w:fill="auto"/>
            <w:noWrap/>
            <w:vAlign w:val="center"/>
            <w:hideMark/>
          </w:tcPr>
          <w:p w14:paraId="68B6E412"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113,2</w:t>
            </w:r>
          </w:p>
        </w:tc>
        <w:tc>
          <w:tcPr>
            <w:tcW w:w="521" w:type="pct"/>
            <w:shd w:val="clear" w:color="auto" w:fill="auto"/>
            <w:noWrap/>
            <w:vAlign w:val="center"/>
            <w:hideMark/>
          </w:tcPr>
          <w:p w14:paraId="4B58882A"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556,3</w:t>
            </w:r>
          </w:p>
        </w:tc>
        <w:tc>
          <w:tcPr>
            <w:tcW w:w="521" w:type="pct"/>
            <w:shd w:val="clear" w:color="auto" w:fill="auto"/>
            <w:noWrap/>
            <w:vAlign w:val="center"/>
            <w:hideMark/>
          </w:tcPr>
          <w:p w14:paraId="1E6C963E"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442,4</w:t>
            </w:r>
          </w:p>
        </w:tc>
      </w:tr>
      <w:tr w:rsidR="003D2CBF" w:rsidRPr="003D2CBF" w14:paraId="7707EA99" w14:textId="77777777" w:rsidTr="00CA56D5">
        <w:trPr>
          <w:trHeight w:val="300"/>
          <w:jc w:val="center"/>
        </w:trPr>
        <w:tc>
          <w:tcPr>
            <w:tcW w:w="678" w:type="pct"/>
            <w:shd w:val="clear" w:color="auto" w:fill="auto"/>
            <w:noWrap/>
            <w:vAlign w:val="center"/>
            <w:hideMark/>
          </w:tcPr>
          <w:p w14:paraId="2D70412A"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Ni</w:t>
            </w:r>
          </w:p>
        </w:tc>
        <w:tc>
          <w:tcPr>
            <w:tcW w:w="643" w:type="pct"/>
            <w:shd w:val="clear" w:color="auto" w:fill="auto"/>
            <w:noWrap/>
            <w:vAlign w:val="center"/>
            <w:hideMark/>
          </w:tcPr>
          <w:p w14:paraId="4680BDD3"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9,9</w:t>
            </w:r>
          </w:p>
        </w:tc>
        <w:tc>
          <w:tcPr>
            <w:tcW w:w="505" w:type="pct"/>
            <w:shd w:val="clear" w:color="auto" w:fill="auto"/>
            <w:noWrap/>
            <w:vAlign w:val="center"/>
            <w:hideMark/>
          </w:tcPr>
          <w:p w14:paraId="53FF3220"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10</w:t>
            </w:r>
          </w:p>
        </w:tc>
        <w:tc>
          <w:tcPr>
            <w:tcW w:w="521" w:type="pct"/>
            <w:shd w:val="clear" w:color="auto" w:fill="auto"/>
            <w:noWrap/>
            <w:vAlign w:val="center"/>
            <w:hideMark/>
          </w:tcPr>
          <w:p w14:paraId="0032D3BD"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27,4</w:t>
            </w:r>
          </w:p>
        </w:tc>
        <w:tc>
          <w:tcPr>
            <w:tcW w:w="462" w:type="pct"/>
            <w:shd w:val="clear" w:color="auto" w:fill="auto"/>
            <w:noWrap/>
            <w:vAlign w:val="center"/>
            <w:hideMark/>
          </w:tcPr>
          <w:p w14:paraId="38F1B288"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25</w:t>
            </w:r>
          </w:p>
        </w:tc>
        <w:tc>
          <w:tcPr>
            <w:tcW w:w="643" w:type="pct"/>
            <w:shd w:val="clear" w:color="auto" w:fill="auto"/>
            <w:noWrap/>
            <w:vAlign w:val="center"/>
            <w:hideMark/>
          </w:tcPr>
          <w:p w14:paraId="2B5AE014"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3,4</w:t>
            </w:r>
          </w:p>
        </w:tc>
        <w:tc>
          <w:tcPr>
            <w:tcW w:w="505" w:type="pct"/>
            <w:shd w:val="clear" w:color="auto" w:fill="auto"/>
            <w:noWrap/>
            <w:vAlign w:val="center"/>
            <w:hideMark/>
          </w:tcPr>
          <w:p w14:paraId="58532ADE"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4,9</w:t>
            </w:r>
          </w:p>
        </w:tc>
        <w:tc>
          <w:tcPr>
            <w:tcW w:w="521" w:type="pct"/>
            <w:shd w:val="clear" w:color="auto" w:fill="auto"/>
            <w:noWrap/>
            <w:vAlign w:val="center"/>
            <w:hideMark/>
          </w:tcPr>
          <w:p w14:paraId="09A06B0E"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22</w:t>
            </w:r>
          </w:p>
        </w:tc>
        <w:tc>
          <w:tcPr>
            <w:tcW w:w="521" w:type="pct"/>
            <w:shd w:val="clear" w:color="auto" w:fill="auto"/>
            <w:noWrap/>
            <w:vAlign w:val="center"/>
            <w:hideMark/>
          </w:tcPr>
          <w:p w14:paraId="6A37BAD8"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10,1</w:t>
            </w:r>
          </w:p>
        </w:tc>
      </w:tr>
      <w:tr w:rsidR="003D2CBF" w:rsidRPr="003D2CBF" w14:paraId="4398E18E" w14:textId="77777777" w:rsidTr="00CA56D5">
        <w:trPr>
          <w:trHeight w:val="300"/>
          <w:jc w:val="center"/>
        </w:trPr>
        <w:tc>
          <w:tcPr>
            <w:tcW w:w="678" w:type="pct"/>
            <w:shd w:val="clear" w:color="auto" w:fill="auto"/>
            <w:noWrap/>
            <w:vAlign w:val="center"/>
            <w:hideMark/>
          </w:tcPr>
          <w:p w14:paraId="05BFF2A3"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Pb</w:t>
            </w:r>
          </w:p>
        </w:tc>
        <w:tc>
          <w:tcPr>
            <w:tcW w:w="643" w:type="pct"/>
            <w:shd w:val="clear" w:color="auto" w:fill="auto"/>
            <w:noWrap/>
            <w:vAlign w:val="center"/>
            <w:hideMark/>
          </w:tcPr>
          <w:p w14:paraId="2FCBFEDA"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8,8</w:t>
            </w:r>
          </w:p>
        </w:tc>
        <w:tc>
          <w:tcPr>
            <w:tcW w:w="505" w:type="pct"/>
            <w:shd w:val="clear" w:color="auto" w:fill="auto"/>
            <w:noWrap/>
            <w:vAlign w:val="center"/>
            <w:hideMark/>
          </w:tcPr>
          <w:p w14:paraId="3FFCCE68"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8,5</w:t>
            </w:r>
          </w:p>
        </w:tc>
        <w:tc>
          <w:tcPr>
            <w:tcW w:w="521" w:type="pct"/>
            <w:shd w:val="clear" w:color="auto" w:fill="auto"/>
            <w:noWrap/>
            <w:vAlign w:val="center"/>
            <w:hideMark/>
          </w:tcPr>
          <w:p w14:paraId="6087441F"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36,1</w:t>
            </w:r>
          </w:p>
        </w:tc>
        <w:tc>
          <w:tcPr>
            <w:tcW w:w="462" w:type="pct"/>
            <w:shd w:val="clear" w:color="auto" w:fill="auto"/>
            <w:noWrap/>
            <w:vAlign w:val="center"/>
            <w:hideMark/>
          </w:tcPr>
          <w:p w14:paraId="404D3905"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18,9</w:t>
            </w:r>
          </w:p>
        </w:tc>
        <w:tc>
          <w:tcPr>
            <w:tcW w:w="643" w:type="pct"/>
            <w:shd w:val="clear" w:color="auto" w:fill="auto"/>
            <w:noWrap/>
            <w:vAlign w:val="center"/>
            <w:hideMark/>
          </w:tcPr>
          <w:p w14:paraId="6D9153E6"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7,2</w:t>
            </w:r>
          </w:p>
        </w:tc>
        <w:tc>
          <w:tcPr>
            <w:tcW w:w="505" w:type="pct"/>
            <w:shd w:val="clear" w:color="auto" w:fill="auto"/>
            <w:noWrap/>
            <w:vAlign w:val="center"/>
            <w:hideMark/>
          </w:tcPr>
          <w:p w14:paraId="7B4C8BA6"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7,6</w:t>
            </w:r>
          </w:p>
        </w:tc>
        <w:tc>
          <w:tcPr>
            <w:tcW w:w="521" w:type="pct"/>
            <w:shd w:val="clear" w:color="auto" w:fill="auto"/>
            <w:noWrap/>
            <w:vAlign w:val="center"/>
            <w:hideMark/>
          </w:tcPr>
          <w:p w14:paraId="42964B20"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34,5</w:t>
            </w:r>
          </w:p>
        </w:tc>
        <w:tc>
          <w:tcPr>
            <w:tcW w:w="521" w:type="pct"/>
            <w:shd w:val="clear" w:color="auto" w:fill="auto"/>
            <w:noWrap/>
            <w:vAlign w:val="center"/>
            <w:hideMark/>
          </w:tcPr>
          <w:p w14:paraId="1ACCF327"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11</w:t>
            </w:r>
          </w:p>
        </w:tc>
      </w:tr>
      <w:tr w:rsidR="003D2CBF" w:rsidRPr="003D2CBF" w14:paraId="34F3058C" w14:textId="77777777" w:rsidTr="00CA56D5">
        <w:trPr>
          <w:trHeight w:val="300"/>
          <w:jc w:val="center"/>
        </w:trPr>
        <w:tc>
          <w:tcPr>
            <w:tcW w:w="678" w:type="pct"/>
            <w:shd w:val="clear" w:color="auto" w:fill="auto"/>
            <w:noWrap/>
            <w:vAlign w:val="center"/>
            <w:hideMark/>
          </w:tcPr>
          <w:p w14:paraId="5B11DBE0"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V</w:t>
            </w:r>
          </w:p>
        </w:tc>
        <w:tc>
          <w:tcPr>
            <w:tcW w:w="643" w:type="pct"/>
            <w:shd w:val="clear" w:color="auto" w:fill="auto"/>
            <w:noWrap/>
            <w:vAlign w:val="center"/>
            <w:hideMark/>
          </w:tcPr>
          <w:p w14:paraId="572D11AA"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7,3</w:t>
            </w:r>
          </w:p>
        </w:tc>
        <w:tc>
          <w:tcPr>
            <w:tcW w:w="505" w:type="pct"/>
            <w:shd w:val="clear" w:color="auto" w:fill="auto"/>
            <w:noWrap/>
            <w:vAlign w:val="center"/>
            <w:hideMark/>
          </w:tcPr>
          <w:p w14:paraId="770B992C"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8,1</w:t>
            </w:r>
          </w:p>
        </w:tc>
        <w:tc>
          <w:tcPr>
            <w:tcW w:w="521" w:type="pct"/>
            <w:shd w:val="clear" w:color="auto" w:fill="auto"/>
            <w:noWrap/>
            <w:vAlign w:val="center"/>
            <w:hideMark/>
          </w:tcPr>
          <w:p w14:paraId="130014D7"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104</w:t>
            </w:r>
          </w:p>
        </w:tc>
        <w:tc>
          <w:tcPr>
            <w:tcW w:w="462" w:type="pct"/>
            <w:shd w:val="clear" w:color="auto" w:fill="auto"/>
            <w:noWrap/>
            <w:vAlign w:val="center"/>
            <w:hideMark/>
          </w:tcPr>
          <w:p w14:paraId="052C264B"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56,6</w:t>
            </w:r>
          </w:p>
        </w:tc>
        <w:tc>
          <w:tcPr>
            <w:tcW w:w="643" w:type="pct"/>
            <w:shd w:val="clear" w:color="auto" w:fill="auto"/>
            <w:noWrap/>
            <w:vAlign w:val="center"/>
            <w:hideMark/>
          </w:tcPr>
          <w:p w14:paraId="09C5C8D7"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5,7</w:t>
            </w:r>
          </w:p>
        </w:tc>
        <w:tc>
          <w:tcPr>
            <w:tcW w:w="505" w:type="pct"/>
            <w:shd w:val="clear" w:color="auto" w:fill="auto"/>
            <w:noWrap/>
            <w:vAlign w:val="center"/>
            <w:hideMark/>
          </w:tcPr>
          <w:p w14:paraId="03B69F6D"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8,7</w:t>
            </w:r>
          </w:p>
        </w:tc>
        <w:tc>
          <w:tcPr>
            <w:tcW w:w="521" w:type="pct"/>
            <w:shd w:val="clear" w:color="auto" w:fill="auto"/>
            <w:noWrap/>
            <w:vAlign w:val="center"/>
            <w:hideMark/>
          </w:tcPr>
          <w:p w14:paraId="100EB85F"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117,3</w:t>
            </w:r>
          </w:p>
        </w:tc>
        <w:tc>
          <w:tcPr>
            <w:tcW w:w="521" w:type="pct"/>
            <w:shd w:val="clear" w:color="auto" w:fill="auto"/>
            <w:noWrap/>
            <w:vAlign w:val="center"/>
            <w:hideMark/>
          </w:tcPr>
          <w:p w14:paraId="1FC3C897"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57,6</w:t>
            </w:r>
          </w:p>
        </w:tc>
      </w:tr>
      <w:tr w:rsidR="003D2CBF" w:rsidRPr="003D2CBF" w14:paraId="2B9613D3" w14:textId="77777777" w:rsidTr="00CA56D5">
        <w:trPr>
          <w:trHeight w:val="300"/>
          <w:jc w:val="center"/>
        </w:trPr>
        <w:tc>
          <w:tcPr>
            <w:tcW w:w="678" w:type="pct"/>
            <w:shd w:val="clear" w:color="auto" w:fill="auto"/>
            <w:noWrap/>
            <w:vAlign w:val="center"/>
            <w:hideMark/>
          </w:tcPr>
          <w:p w14:paraId="6A28AAA4"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Zn</w:t>
            </w:r>
          </w:p>
        </w:tc>
        <w:tc>
          <w:tcPr>
            <w:tcW w:w="643" w:type="pct"/>
            <w:shd w:val="clear" w:color="auto" w:fill="auto"/>
            <w:noWrap/>
            <w:vAlign w:val="center"/>
            <w:hideMark/>
          </w:tcPr>
          <w:p w14:paraId="35274D2A"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12,5</w:t>
            </w:r>
          </w:p>
        </w:tc>
        <w:tc>
          <w:tcPr>
            <w:tcW w:w="505" w:type="pct"/>
            <w:shd w:val="clear" w:color="auto" w:fill="auto"/>
            <w:noWrap/>
            <w:vAlign w:val="center"/>
            <w:hideMark/>
          </w:tcPr>
          <w:p w14:paraId="3FC81A33"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15</w:t>
            </w:r>
          </w:p>
        </w:tc>
        <w:tc>
          <w:tcPr>
            <w:tcW w:w="521" w:type="pct"/>
            <w:shd w:val="clear" w:color="auto" w:fill="auto"/>
            <w:noWrap/>
            <w:vAlign w:val="center"/>
            <w:hideMark/>
          </w:tcPr>
          <w:p w14:paraId="7AA1FD7A"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81,7</w:t>
            </w:r>
          </w:p>
        </w:tc>
        <w:tc>
          <w:tcPr>
            <w:tcW w:w="462" w:type="pct"/>
            <w:shd w:val="clear" w:color="auto" w:fill="auto"/>
            <w:noWrap/>
            <w:vAlign w:val="center"/>
            <w:hideMark/>
          </w:tcPr>
          <w:p w14:paraId="33862130"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56,7</w:t>
            </w:r>
          </w:p>
        </w:tc>
        <w:tc>
          <w:tcPr>
            <w:tcW w:w="643" w:type="pct"/>
            <w:shd w:val="clear" w:color="auto" w:fill="auto"/>
            <w:noWrap/>
            <w:vAlign w:val="center"/>
            <w:hideMark/>
          </w:tcPr>
          <w:p w14:paraId="3BB40F9F"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5,2</w:t>
            </w:r>
          </w:p>
        </w:tc>
        <w:tc>
          <w:tcPr>
            <w:tcW w:w="505" w:type="pct"/>
            <w:shd w:val="clear" w:color="auto" w:fill="auto"/>
            <w:noWrap/>
            <w:vAlign w:val="center"/>
            <w:hideMark/>
          </w:tcPr>
          <w:p w14:paraId="05C810CB"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11,6</w:t>
            </w:r>
          </w:p>
        </w:tc>
        <w:tc>
          <w:tcPr>
            <w:tcW w:w="521" w:type="pct"/>
            <w:shd w:val="clear" w:color="auto" w:fill="auto"/>
            <w:noWrap/>
            <w:vAlign w:val="center"/>
            <w:hideMark/>
          </w:tcPr>
          <w:p w14:paraId="673900E7"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69,3</w:t>
            </w:r>
          </w:p>
        </w:tc>
        <w:tc>
          <w:tcPr>
            <w:tcW w:w="521" w:type="pct"/>
            <w:shd w:val="clear" w:color="auto" w:fill="auto"/>
            <w:noWrap/>
            <w:vAlign w:val="center"/>
            <w:hideMark/>
          </w:tcPr>
          <w:p w14:paraId="10E490DC" w14:textId="77777777" w:rsidR="003D2CBF" w:rsidRPr="003D2CBF" w:rsidRDefault="003D2CBF" w:rsidP="003D2CBF">
            <w:pPr>
              <w:spacing w:before="0" w:after="0"/>
              <w:jc w:val="center"/>
              <w:rPr>
                <w:rFonts w:ascii="Calibri" w:eastAsia="Times New Roman" w:hAnsi="Calibri" w:cs="Calibri"/>
                <w:color w:val="000000"/>
                <w:sz w:val="22"/>
                <w:lang w:eastAsia="pt-BR"/>
              </w:rPr>
            </w:pPr>
            <w:r w:rsidRPr="003D2CBF">
              <w:rPr>
                <w:rFonts w:ascii="Calibri" w:eastAsia="Times New Roman" w:hAnsi="Calibri" w:cs="Calibri"/>
                <w:color w:val="000000"/>
                <w:sz w:val="22"/>
                <w:lang w:eastAsia="pt-BR"/>
              </w:rPr>
              <w:t>34,5</w:t>
            </w:r>
          </w:p>
        </w:tc>
      </w:tr>
    </w:tbl>
    <w:p w14:paraId="0D4000B0" w14:textId="6B6722D9" w:rsidR="003D2CBF" w:rsidRDefault="003D2CBF" w:rsidP="00EC0C73"/>
    <w:p w14:paraId="3878DB0D" w14:textId="29918E7A" w:rsidR="00E81852" w:rsidRDefault="00E81852" w:rsidP="0044223E">
      <w:pPr>
        <w:ind w:firstLine="360"/>
      </w:pPr>
      <w:r>
        <w:t xml:space="preserve">As Figuras </w:t>
      </w:r>
      <w:r>
        <w:fldChar w:fldCharType="begin"/>
      </w:r>
      <w:r>
        <w:instrText xml:space="preserve"> REF Fig_sed_MT_variab_transi_varios_elem \h </w:instrText>
      </w:r>
      <w:r>
        <w:fldChar w:fldCharType="separate"/>
      </w:r>
      <w:r w:rsidR="002C014F">
        <w:rPr>
          <w:noProof/>
        </w:rPr>
        <w:t>30</w:t>
      </w:r>
      <w:r>
        <w:fldChar w:fldCharType="end"/>
      </w:r>
      <w:r>
        <w:t xml:space="preserve"> a </w:t>
      </w:r>
      <w:r>
        <w:fldChar w:fldCharType="begin"/>
      </w:r>
      <w:r>
        <w:instrText xml:space="preserve"> REF Fig_sed_MT_variab_transi_Fe \h </w:instrText>
      </w:r>
      <w:r>
        <w:fldChar w:fldCharType="separate"/>
      </w:r>
      <w:r w:rsidR="002C014F">
        <w:rPr>
          <w:noProof/>
        </w:rPr>
        <w:t>32</w:t>
      </w:r>
      <w:r>
        <w:fldChar w:fldCharType="end"/>
      </w:r>
      <w:r>
        <w:t xml:space="preserve"> apresentam as variabilidades de alguns elementos inorgânicos analisados nos sedimentos dos quatro ambientes. A divisão dos elementos em diferentes figuras levou em consideração a magnitude dos valores obtidos:</w:t>
      </w:r>
    </w:p>
    <w:p w14:paraId="0F784BD4" w14:textId="77777777" w:rsidR="00E81852" w:rsidRDefault="00E81852" w:rsidP="00E81852">
      <w:pPr>
        <w:pStyle w:val="PargrafodaLista"/>
        <w:numPr>
          <w:ilvl w:val="0"/>
          <w:numId w:val="11"/>
        </w:numPr>
        <w:spacing w:before="0" w:line="259" w:lineRule="auto"/>
      </w:pPr>
      <w:r>
        <w:t xml:space="preserve">As, Cd, Co, Cr, Cu, Hg, Ni, Pb, Sn, V e Zn (até 200 </w:t>
      </w:r>
      <w:r w:rsidRPr="00D60841">
        <w:t>m</w:t>
      </w:r>
      <w:r>
        <w:t>g kg</w:t>
      </w:r>
      <w:r w:rsidRPr="00892565">
        <w:rPr>
          <w:vertAlign w:val="superscript"/>
        </w:rPr>
        <w:t>-1</w:t>
      </w:r>
      <w:r>
        <w:t>)</w:t>
      </w:r>
    </w:p>
    <w:p w14:paraId="1501D025" w14:textId="77777777" w:rsidR="00E81852" w:rsidRDefault="00E81852" w:rsidP="00E81852">
      <w:pPr>
        <w:pStyle w:val="PargrafodaLista"/>
        <w:numPr>
          <w:ilvl w:val="0"/>
          <w:numId w:val="11"/>
        </w:numPr>
        <w:spacing w:before="0" w:line="259" w:lineRule="auto"/>
      </w:pPr>
      <w:r>
        <w:t xml:space="preserve">Ba e Mn (até 2000 </w:t>
      </w:r>
      <w:r w:rsidRPr="00D60841">
        <w:t>m</w:t>
      </w:r>
      <w:r>
        <w:t>g kg</w:t>
      </w:r>
      <w:r w:rsidRPr="00D60841">
        <w:rPr>
          <w:vertAlign w:val="superscript"/>
        </w:rPr>
        <w:t>-1</w:t>
      </w:r>
      <w:r>
        <w:t>)</w:t>
      </w:r>
    </w:p>
    <w:p w14:paraId="019AE3E7" w14:textId="77777777" w:rsidR="00E81852" w:rsidRDefault="00E81852" w:rsidP="00E81852">
      <w:pPr>
        <w:pStyle w:val="PargrafodaLista"/>
        <w:numPr>
          <w:ilvl w:val="0"/>
          <w:numId w:val="11"/>
        </w:numPr>
        <w:spacing w:before="0" w:line="259" w:lineRule="auto"/>
      </w:pPr>
      <w:r>
        <w:t xml:space="preserve">Al e Fe (até 160000 </w:t>
      </w:r>
      <w:r w:rsidRPr="00D60841">
        <w:t>m</w:t>
      </w:r>
      <w:r>
        <w:t>g kg</w:t>
      </w:r>
      <w:r w:rsidRPr="00892565">
        <w:rPr>
          <w:vertAlign w:val="superscript"/>
        </w:rPr>
        <w:t>-1</w:t>
      </w:r>
      <w:r>
        <w:t>)</w:t>
      </w:r>
    </w:p>
    <w:p w14:paraId="6EB0C089" w14:textId="0DD74295" w:rsidR="003D2CBF" w:rsidRDefault="003D2CBF" w:rsidP="00EC0C73"/>
    <w:p w14:paraId="0D0A4AAD" w14:textId="125148FF" w:rsidR="00E81852" w:rsidRDefault="00EC0C73" w:rsidP="00E81852">
      <w:pPr>
        <w:pStyle w:val="Legenda"/>
        <w:keepNext/>
      </w:pPr>
      <w:r>
        <w:br w:type="page"/>
      </w:r>
      <w:bookmarkStart w:id="110" w:name="_Ref41637049"/>
      <w:bookmarkStart w:id="111" w:name="_Toc46992164"/>
      <w:r w:rsidR="00E81852">
        <w:lastRenderedPageBreak/>
        <w:t xml:space="preserve">Figura </w:t>
      </w:r>
      <w:bookmarkStart w:id="112" w:name="Fig_sed_MT_variab_transi_varios_elem"/>
      <w:r w:rsidR="00E81852">
        <w:fldChar w:fldCharType="begin"/>
      </w:r>
      <w:r w:rsidR="00E81852">
        <w:instrText xml:space="preserve"> SEQ Figura \* ARABIC </w:instrText>
      </w:r>
      <w:r w:rsidR="00E81852">
        <w:fldChar w:fldCharType="separate"/>
      </w:r>
      <w:r w:rsidR="002C014F">
        <w:rPr>
          <w:noProof/>
        </w:rPr>
        <w:t>30</w:t>
      </w:r>
      <w:r w:rsidR="00E81852">
        <w:rPr>
          <w:noProof/>
        </w:rPr>
        <w:fldChar w:fldCharType="end"/>
      </w:r>
      <w:bookmarkEnd w:id="110"/>
      <w:bookmarkEnd w:id="112"/>
      <w:r w:rsidR="00E81852">
        <w:t xml:space="preserve"> - Variabilidade de alguns elementos inorgânicos nos sistemas do Rio Guandu, Rio Doce, Lagos e Lagoas.</w:t>
      </w:r>
      <w:bookmarkEnd w:id="111"/>
    </w:p>
    <w:p w14:paraId="5EDF8D90" w14:textId="77777777" w:rsidR="00E81852" w:rsidRDefault="00E81852" w:rsidP="00E81852">
      <w:pPr>
        <w:jc w:val="center"/>
      </w:pPr>
      <w:r w:rsidRPr="00594536">
        <w:rPr>
          <w:noProof/>
          <w:lang w:eastAsia="pt-BR"/>
        </w:rPr>
        <w:drawing>
          <wp:inline distT="0" distB="0" distL="0" distR="0" wp14:anchorId="0C3D1A05" wp14:editId="71669CAB">
            <wp:extent cx="3728021" cy="7200000"/>
            <wp:effectExtent l="0" t="0" r="6350" b="127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728021" cy="7200000"/>
                    </a:xfrm>
                    <a:prstGeom prst="rect">
                      <a:avLst/>
                    </a:prstGeom>
                    <a:noFill/>
                    <a:ln>
                      <a:noFill/>
                    </a:ln>
                  </pic:spPr>
                </pic:pic>
              </a:graphicData>
            </a:graphic>
          </wp:inline>
        </w:drawing>
      </w:r>
    </w:p>
    <w:p w14:paraId="4146A86D" w14:textId="77777777" w:rsidR="00E81852" w:rsidRDefault="00E81852" w:rsidP="00E81852">
      <w:r>
        <w:br w:type="page"/>
      </w:r>
    </w:p>
    <w:p w14:paraId="4EB832A4" w14:textId="4A48E13B" w:rsidR="00E81852" w:rsidRDefault="00E81852" w:rsidP="00E81852">
      <w:pPr>
        <w:pStyle w:val="Legenda"/>
        <w:keepNext/>
      </w:pPr>
      <w:bookmarkStart w:id="113" w:name="_Ref41650823"/>
      <w:bookmarkStart w:id="114" w:name="_Toc46992165"/>
      <w:r>
        <w:lastRenderedPageBreak/>
        <w:t xml:space="preserve">Figura </w:t>
      </w:r>
      <w:fldSimple w:instr=" SEQ Figura \* ARABIC ">
        <w:r w:rsidR="002C014F">
          <w:rPr>
            <w:noProof/>
          </w:rPr>
          <w:t>31</w:t>
        </w:r>
      </w:fldSimple>
      <w:bookmarkEnd w:id="113"/>
      <w:r>
        <w:t xml:space="preserve">- </w:t>
      </w:r>
      <w:r w:rsidRPr="009B24BA">
        <w:t xml:space="preserve">Variabilidade de </w:t>
      </w:r>
      <w:r>
        <w:t>Ba e Mn</w:t>
      </w:r>
      <w:r w:rsidRPr="009B24BA">
        <w:t xml:space="preserve"> nos sistemas do Rio Guandu, Rio Doce, Lagos e Lagoas.</w:t>
      </w:r>
      <w:bookmarkEnd w:id="114"/>
    </w:p>
    <w:p w14:paraId="0B7B9DA4" w14:textId="77777777" w:rsidR="00E81852" w:rsidRDefault="00E81852" w:rsidP="00E81852">
      <w:pPr>
        <w:jc w:val="center"/>
      </w:pPr>
      <w:r w:rsidRPr="00594536">
        <w:rPr>
          <w:noProof/>
          <w:lang w:eastAsia="pt-BR"/>
        </w:rPr>
        <w:drawing>
          <wp:inline distT="0" distB="0" distL="0" distR="0" wp14:anchorId="0D0FD639" wp14:editId="185875AA">
            <wp:extent cx="3728021" cy="7200000"/>
            <wp:effectExtent l="0" t="0" r="6350" b="127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728021" cy="7200000"/>
                    </a:xfrm>
                    <a:prstGeom prst="rect">
                      <a:avLst/>
                    </a:prstGeom>
                    <a:noFill/>
                    <a:ln>
                      <a:noFill/>
                    </a:ln>
                  </pic:spPr>
                </pic:pic>
              </a:graphicData>
            </a:graphic>
          </wp:inline>
        </w:drawing>
      </w:r>
    </w:p>
    <w:p w14:paraId="205B4AD0" w14:textId="77777777" w:rsidR="00E81852" w:rsidRDefault="00E81852" w:rsidP="00E81852">
      <w:r>
        <w:br w:type="page"/>
      </w:r>
    </w:p>
    <w:p w14:paraId="6951C3CF" w14:textId="3EFAE434" w:rsidR="00E81852" w:rsidRDefault="00E81852" w:rsidP="00E81852">
      <w:pPr>
        <w:pStyle w:val="Legenda"/>
        <w:keepNext/>
      </w:pPr>
      <w:bookmarkStart w:id="115" w:name="_Ref41650831"/>
      <w:bookmarkStart w:id="116" w:name="_Toc46992166"/>
      <w:r>
        <w:lastRenderedPageBreak/>
        <w:t xml:space="preserve">Figura </w:t>
      </w:r>
      <w:bookmarkStart w:id="117" w:name="Fig_sed_MT_variab_transi_Fe"/>
      <w:r>
        <w:fldChar w:fldCharType="begin"/>
      </w:r>
      <w:r>
        <w:instrText xml:space="preserve"> SEQ Figura \* ARABIC </w:instrText>
      </w:r>
      <w:r>
        <w:fldChar w:fldCharType="separate"/>
      </w:r>
      <w:r w:rsidR="002C014F">
        <w:rPr>
          <w:noProof/>
        </w:rPr>
        <w:t>32</w:t>
      </w:r>
      <w:r>
        <w:rPr>
          <w:noProof/>
        </w:rPr>
        <w:fldChar w:fldCharType="end"/>
      </w:r>
      <w:bookmarkEnd w:id="115"/>
      <w:bookmarkEnd w:id="117"/>
      <w:r>
        <w:t xml:space="preserve"> - </w:t>
      </w:r>
      <w:r w:rsidRPr="007D7D7F">
        <w:t xml:space="preserve">Variabilidade </w:t>
      </w:r>
      <w:r>
        <w:t>para Al e Fe</w:t>
      </w:r>
      <w:r w:rsidRPr="007D7D7F">
        <w:t xml:space="preserve"> nos sistemas do Rio Guandu, Rio Doce, Lagos e Lagoas.</w:t>
      </w:r>
      <w:bookmarkEnd w:id="116"/>
    </w:p>
    <w:p w14:paraId="00D1C986" w14:textId="77777777" w:rsidR="00E81852" w:rsidRDefault="00E81852" w:rsidP="00E81852">
      <w:pPr>
        <w:jc w:val="center"/>
      </w:pPr>
      <w:r w:rsidRPr="00594536">
        <w:rPr>
          <w:noProof/>
          <w:lang w:eastAsia="pt-BR"/>
        </w:rPr>
        <w:drawing>
          <wp:inline distT="0" distB="0" distL="0" distR="0" wp14:anchorId="3507CD46" wp14:editId="75BFB9F3">
            <wp:extent cx="3728021" cy="7200000"/>
            <wp:effectExtent l="0" t="0" r="6350" b="1270"/>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728021" cy="7200000"/>
                    </a:xfrm>
                    <a:prstGeom prst="rect">
                      <a:avLst/>
                    </a:prstGeom>
                    <a:noFill/>
                    <a:ln>
                      <a:noFill/>
                    </a:ln>
                  </pic:spPr>
                </pic:pic>
              </a:graphicData>
            </a:graphic>
          </wp:inline>
        </w:drawing>
      </w:r>
    </w:p>
    <w:p w14:paraId="0B2CCDAF" w14:textId="77777777" w:rsidR="00E81852" w:rsidRDefault="00E81852" w:rsidP="00E81852">
      <w:r>
        <w:br w:type="page"/>
      </w:r>
    </w:p>
    <w:p w14:paraId="10CBD7BA" w14:textId="619350BB" w:rsidR="00E81852" w:rsidRDefault="00E81852" w:rsidP="0044223E">
      <w:pPr>
        <w:ind w:firstLine="708"/>
      </w:pPr>
      <w:r>
        <w:lastRenderedPageBreak/>
        <w:t xml:space="preserve">Na </w:t>
      </w:r>
      <w:r>
        <w:fldChar w:fldCharType="begin"/>
      </w:r>
      <w:r>
        <w:instrText xml:space="preserve"> REF _Ref41637049 \h </w:instrText>
      </w:r>
      <w:r>
        <w:fldChar w:fldCharType="separate"/>
      </w:r>
      <w:r w:rsidR="002C014F">
        <w:t xml:space="preserve">Figura </w:t>
      </w:r>
      <w:r w:rsidR="002C014F">
        <w:rPr>
          <w:noProof/>
        </w:rPr>
        <w:t>30</w:t>
      </w:r>
      <w:r>
        <w:fldChar w:fldCharType="end"/>
      </w:r>
      <w:r>
        <w:t xml:space="preserve"> é possível perceber que alguns elementos nos ambientes lacustres apresentam maiores concentrações e variabilidades que os ambientes fluviais, destacando-se entre eles o As, Cr, Ni, Pb, V e Zn. Para o As e Cr, por exemplo, estas diferenças são de aproximadamente 10 e 6 vezes, respectivamente</w:t>
      </w:r>
      <w:r w:rsidR="0044223E">
        <w:t>, s</w:t>
      </w:r>
      <w:r>
        <w:t xml:space="preserve">e comparado ao ano 1. Se </w:t>
      </w:r>
      <w:r w:rsidR="0044223E">
        <w:t xml:space="preserve">forem levados </w:t>
      </w:r>
      <w:r>
        <w:t xml:space="preserve"> em conta apenas os elementos considerado indicadores do impacto, conforme concluído no relatório anual de 2019, todos os resultados para Cu, Ni e Pb apresentaram menores valores para todos os ambientes se comparado ao ano 1 do PMBA, podendo-se chegar a uma redução de até 66% no Rio Guandu e de 51% no Rio Doce para o Ni, por exemplo. Vale ressaltar que o comportamento das concentrações se diferencia entre os períodos chuvosos e secos, conforme apresentados mais a diante neste relatório, o que significa que esta redução pode ser significativamente alterada quando se considerar a comparação de período</w:t>
      </w:r>
      <w:r w:rsidR="0044223E">
        <w:t>s</w:t>
      </w:r>
      <w:r>
        <w:t xml:space="preserve"> similares.</w:t>
      </w:r>
    </w:p>
    <w:p w14:paraId="771FB0BE" w14:textId="5C9CA29A" w:rsidR="00E81852" w:rsidRDefault="00E81852" w:rsidP="0044223E">
      <w:pPr>
        <w:ind w:firstLine="708"/>
      </w:pPr>
      <w:r>
        <w:t xml:space="preserve">Com relação aos elementos majoritários, como Al, Fe, Ba e Mn, o Ba é o único elemento em que as médias não apresentam diferenças significativas entre os ambientes, diferindo-se apenas na variabilidade. Esta estabilidade na concentração também é observada se comparada ao ano 1 do PMBA, com exceção das </w:t>
      </w:r>
      <w:r w:rsidR="00961048">
        <w:t>L</w:t>
      </w:r>
      <w:r>
        <w:t>agoas, que tiveram no atual período uma redução de 26%</w:t>
      </w:r>
      <w:r w:rsidR="00961048">
        <w:t>, provavelmente pelo efeito de diluição das chuvas</w:t>
      </w:r>
      <w:r>
        <w:t xml:space="preserve">. Já para Mn, os ambientes lacustres apresentam teores aproximadamente 6 vezes maiores que nos ambientes fluviais, sendo que para todos eles houve redução na concentração se comparado ao ano 1, podendo chagar a 46% e 41% para o Rio Guandu e para as lagoas respectivamente. Estes comportamentos podem ser visualizados na </w:t>
      </w:r>
      <w:r>
        <w:fldChar w:fldCharType="begin"/>
      </w:r>
      <w:r>
        <w:instrText xml:space="preserve"> REF _Ref41650823 \h </w:instrText>
      </w:r>
      <w:r>
        <w:fldChar w:fldCharType="separate"/>
      </w:r>
      <w:r w:rsidR="002C014F">
        <w:t xml:space="preserve">Figura </w:t>
      </w:r>
      <w:r w:rsidR="002C014F">
        <w:rPr>
          <w:noProof/>
        </w:rPr>
        <w:t>31</w:t>
      </w:r>
      <w:r>
        <w:fldChar w:fldCharType="end"/>
      </w:r>
      <w:r>
        <w:t>.</w:t>
      </w:r>
    </w:p>
    <w:p w14:paraId="5681A059" w14:textId="1AC967DC" w:rsidR="00E81852" w:rsidRDefault="00E81852" w:rsidP="00961048">
      <w:pPr>
        <w:ind w:firstLine="708"/>
      </w:pPr>
      <w:r>
        <w:t xml:space="preserve">Já na </w:t>
      </w:r>
      <w:r>
        <w:fldChar w:fldCharType="begin"/>
      </w:r>
      <w:r>
        <w:instrText xml:space="preserve"> REF _Ref41650831 \h </w:instrText>
      </w:r>
      <w:r>
        <w:fldChar w:fldCharType="separate"/>
      </w:r>
      <w:r w:rsidR="002C014F">
        <w:t xml:space="preserve">Figura </w:t>
      </w:r>
      <w:r w:rsidR="002C014F">
        <w:rPr>
          <w:noProof/>
        </w:rPr>
        <w:t>32</w:t>
      </w:r>
      <w:r>
        <w:fldChar w:fldCharType="end"/>
      </w:r>
      <w:r>
        <w:t xml:space="preserve">, pode-se perceber que os teores de Al e Fe são bem mais elevados nos ambientes lacustres, sendo respectivamente </w:t>
      </w:r>
      <w:r w:rsidR="00961048">
        <w:t xml:space="preserve"> cerca de </w:t>
      </w:r>
      <w:r>
        <w:t xml:space="preserve">7 e 16 vezes maiores. Para o Al, os teores apresentaram redução para todos os ambientes se comparado ao ano 1, sendo 46% menores no Rio Guandu e 40% menores nas </w:t>
      </w:r>
      <w:r w:rsidR="00961048">
        <w:t>L</w:t>
      </w:r>
      <w:r>
        <w:t xml:space="preserve">agoas. Este comportamento é muito similar ao do Mn, indicando uma possível correlação entre si. </w:t>
      </w:r>
      <w:r w:rsidR="00961048">
        <w:t>Também</w:t>
      </w:r>
      <w:r>
        <w:t xml:space="preserve"> houve uma redução de 33% para as concentrações do Fe </w:t>
      </w:r>
      <w:r w:rsidR="00961048">
        <w:t xml:space="preserve">em sedimentos </w:t>
      </w:r>
      <w:r>
        <w:t>no Rio Guandu se comparado ao ano 1</w:t>
      </w:r>
      <w:r w:rsidR="00961048">
        <w:t>, sugerindo lixiviação pela água da chuva</w:t>
      </w:r>
      <w:r>
        <w:t xml:space="preserve">, mas um aumento expressivo de 310% nas </w:t>
      </w:r>
      <w:r w:rsidR="00961048">
        <w:t>L</w:t>
      </w:r>
      <w:r>
        <w:t>agoas</w:t>
      </w:r>
      <w:r w:rsidR="00961048">
        <w:t>, sugerindo revolvimento de sedimentos com exposição de material mais rico em Fe, em decorrência das chuvas</w:t>
      </w:r>
      <w:r>
        <w:t>. Porém, ressalta</w:t>
      </w:r>
      <w:r w:rsidR="00961048">
        <w:t>-se,</w:t>
      </w:r>
      <w:r>
        <w:t xml:space="preserve"> novamente</w:t>
      </w:r>
      <w:r w:rsidR="00961048">
        <w:t>,</w:t>
      </w:r>
      <w:r>
        <w:t xml:space="preserve"> que o período de transição compreende praticamente apenas o período chuvoso, mas os dados comparados do ano</w:t>
      </w:r>
      <w:r w:rsidR="00BF300D">
        <w:t xml:space="preserve"> </w:t>
      </w:r>
      <w:r>
        <w:t>1 possuem ambos os períodos chuvosos e secos</w:t>
      </w:r>
      <w:r w:rsidR="00961048">
        <w:t>.</w:t>
      </w:r>
    </w:p>
    <w:p w14:paraId="58783D79" w14:textId="09B185AD" w:rsidR="00E81852" w:rsidRDefault="00E81852">
      <w:pPr>
        <w:spacing w:before="0" w:line="259" w:lineRule="auto"/>
        <w:jc w:val="left"/>
      </w:pPr>
      <w:r>
        <w:br w:type="page"/>
      </w:r>
    </w:p>
    <w:p w14:paraId="1A03B3DF" w14:textId="1A3B9DB5" w:rsidR="00E81852" w:rsidRDefault="00E81852" w:rsidP="00961048">
      <w:pPr>
        <w:ind w:firstLine="708"/>
        <w:rPr>
          <w:rFonts w:cstheme="minorHAnsi"/>
        </w:rPr>
      </w:pPr>
      <w:r>
        <w:rPr>
          <w:rFonts w:cstheme="minorHAnsi"/>
        </w:rPr>
        <w:lastRenderedPageBreak/>
        <w:t>A</w:t>
      </w:r>
      <w:r w:rsidR="00CA56D5">
        <w:rPr>
          <w:rFonts w:cstheme="minorHAnsi"/>
        </w:rPr>
        <w:t xml:space="preserve"> </w:t>
      </w:r>
      <w:r w:rsidR="00CA56D5">
        <w:rPr>
          <w:rFonts w:cstheme="minorHAnsi"/>
        </w:rPr>
        <w:fldChar w:fldCharType="begin"/>
      </w:r>
      <w:r w:rsidR="00CA56D5">
        <w:rPr>
          <w:rFonts w:cstheme="minorHAnsi"/>
        </w:rPr>
        <w:instrText xml:space="preserve"> REF _Ref41652860 \h </w:instrText>
      </w:r>
      <w:r w:rsidR="00CA56D5">
        <w:rPr>
          <w:rFonts w:cstheme="minorHAnsi"/>
        </w:rPr>
      </w:r>
      <w:r w:rsidR="00CA56D5">
        <w:rPr>
          <w:rFonts w:cstheme="minorHAnsi"/>
        </w:rPr>
        <w:fldChar w:fldCharType="separate"/>
      </w:r>
      <w:r w:rsidR="002C014F">
        <w:t xml:space="preserve">Tabela </w:t>
      </w:r>
      <w:r w:rsidR="002C014F">
        <w:rPr>
          <w:noProof/>
        </w:rPr>
        <w:t>12</w:t>
      </w:r>
      <w:r w:rsidR="00CA56D5">
        <w:rPr>
          <w:rFonts w:cstheme="minorHAnsi"/>
        </w:rPr>
        <w:fldChar w:fldCharType="end"/>
      </w:r>
      <w:r w:rsidR="00CA56D5">
        <w:rPr>
          <w:rFonts w:cstheme="minorHAnsi"/>
        </w:rPr>
        <w:t xml:space="preserve"> </w:t>
      </w:r>
      <w:r>
        <w:rPr>
          <w:rFonts w:cstheme="minorHAnsi"/>
        </w:rPr>
        <w:t xml:space="preserve">apresenta os percentuais de não conformidades nos três semestres do PMBA para alguns elementos em sedimento para o parâmetro de metais totais considerando limites CONAMA nível 2 e NOAA PEL, </w:t>
      </w:r>
      <w:r w:rsidR="00F761E8">
        <w:rPr>
          <w:rFonts w:cstheme="minorHAnsi"/>
        </w:rPr>
        <w:t>que assumem os mesmos valores</w:t>
      </w:r>
      <w:r>
        <w:rPr>
          <w:rFonts w:cstheme="minorHAnsi"/>
        </w:rPr>
        <w:t xml:space="preserve">. Já as Figuras </w:t>
      </w:r>
      <w:r w:rsidR="00CA56D5">
        <w:rPr>
          <w:rFonts w:cstheme="minorHAnsi"/>
        </w:rPr>
        <w:fldChar w:fldCharType="begin"/>
      </w:r>
      <w:r w:rsidR="00CA56D5">
        <w:rPr>
          <w:rFonts w:cstheme="minorHAnsi"/>
        </w:rPr>
        <w:instrText xml:space="preserve"> REF Fig_sed_MT_nao_conform_As_Cr_Ni \h </w:instrText>
      </w:r>
      <w:r w:rsidR="00CA56D5">
        <w:rPr>
          <w:rFonts w:cstheme="minorHAnsi"/>
        </w:rPr>
      </w:r>
      <w:r w:rsidR="00CA56D5">
        <w:rPr>
          <w:rFonts w:cstheme="minorHAnsi"/>
        </w:rPr>
        <w:fldChar w:fldCharType="separate"/>
      </w:r>
      <w:r w:rsidR="002C014F">
        <w:rPr>
          <w:noProof/>
        </w:rPr>
        <w:t>33</w:t>
      </w:r>
      <w:r w:rsidR="00CA56D5">
        <w:rPr>
          <w:rFonts w:cstheme="minorHAnsi"/>
        </w:rPr>
        <w:fldChar w:fldCharType="end"/>
      </w:r>
      <w:r w:rsidR="00CA56D5">
        <w:rPr>
          <w:rFonts w:cstheme="minorHAnsi"/>
        </w:rPr>
        <w:t xml:space="preserve"> e </w:t>
      </w:r>
      <w:r w:rsidR="00CA56D5">
        <w:rPr>
          <w:rFonts w:cstheme="minorHAnsi"/>
        </w:rPr>
        <w:fldChar w:fldCharType="begin"/>
      </w:r>
      <w:r w:rsidR="00CA56D5">
        <w:rPr>
          <w:rFonts w:cstheme="minorHAnsi"/>
        </w:rPr>
        <w:instrText xml:space="preserve"> REF Fig_sed_MT_nao_conform_Al_Fe_Mn \h </w:instrText>
      </w:r>
      <w:r w:rsidR="00CA56D5">
        <w:rPr>
          <w:rFonts w:cstheme="minorHAnsi"/>
        </w:rPr>
      </w:r>
      <w:r w:rsidR="00CA56D5">
        <w:rPr>
          <w:rFonts w:cstheme="minorHAnsi"/>
        </w:rPr>
        <w:fldChar w:fldCharType="separate"/>
      </w:r>
      <w:r w:rsidR="002C014F">
        <w:rPr>
          <w:noProof/>
        </w:rPr>
        <w:t>34</w:t>
      </w:r>
      <w:r w:rsidR="00CA56D5">
        <w:rPr>
          <w:rFonts w:cstheme="minorHAnsi"/>
        </w:rPr>
        <w:fldChar w:fldCharType="end"/>
      </w:r>
      <w:r>
        <w:rPr>
          <w:rFonts w:cstheme="minorHAnsi"/>
        </w:rPr>
        <w:t xml:space="preserve"> apresentam as variabilidades das concentrações d</w:t>
      </w:r>
      <w:r w:rsidR="00CA56D5">
        <w:rPr>
          <w:rFonts w:cstheme="minorHAnsi"/>
        </w:rPr>
        <w:t xml:space="preserve">e As, Cr, Ni, Al, Fe e Mn </w:t>
      </w:r>
      <w:r>
        <w:rPr>
          <w:rFonts w:cstheme="minorHAnsi"/>
        </w:rPr>
        <w:t>para os quatro ambientes estudados, durante esses três semestres do programa.</w:t>
      </w:r>
    </w:p>
    <w:p w14:paraId="4A69F262" w14:textId="77777777" w:rsidR="00F761E8" w:rsidRDefault="00F761E8" w:rsidP="00961048">
      <w:pPr>
        <w:ind w:firstLine="708"/>
        <w:rPr>
          <w:rFonts w:cstheme="minorHAnsi"/>
        </w:rPr>
      </w:pPr>
    </w:p>
    <w:p w14:paraId="69D7C20B" w14:textId="78E034BB" w:rsidR="00CA56D5" w:rsidRDefault="00CA56D5" w:rsidP="00CA56D5">
      <w:pPr>
        <w:pStyle w:val="Legenda"/>
        <w:keepNext/>
      </w:pPr>
      <w:bookmarkStart w:id="118" w:name="_Ref41652860"/>
      <w:bookmarkStart w:id="119" w:name="_Ref42085879"/>
      <w:bookmarkStart w:id="120" w:name="_Toc46992187"/>
      <w:r>
        <w:t xml:space="preserve">Tabela </w:t>
      </w:r>
      <w:fldSimple w:instr=" SEQ Tabela \* ARABIC ">
        <w:r w:rsidR="002C014F">
          <w:rPr>
            <w:noProof/>
          </w:rPr>
          <w:t>12</w:t>
        </w:r>
      </w:fldSimple>
      <w:bookmarkEnd w:id="118"/>
      <w:r>
        <w:t xml:space="preserve"> - Percentual de não conformidades no sedimento para alguns elementos no parâmetro de metais totais comparado aos limites CONAMA e NOA PEL</w:t>
      </w:r>
      <w:bookmarkEnd w:id="119"/>
      <w:bookmarkEnd w:id="120"/>
    </w:p>
    <w:tbl>
      <w:tblPr>
        <w:tblStyle w:val="Tabelacomgrade"/>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1117"/>
        <w:gridCol w:w="1054"/>
        <w:gridCol w:w="2005"/>
        <w:gridCol w:w="2005"/>
        <w:gridCol w:w="2005"/>
      </w:tblGrid>
      <w:tr w:rsidR="00CA56D5" w:rsidRPr="00CA56D5" w14:paraId="38322F30" w14:textId="77777777" w:rsidTr="00CA56D5">
        <w:trPr>
          <w:tblHeader/>
          <w:jc w:val="center"/>
        </w:trPr>
        <w:tc>
          <w:tcPr>
            <w:tcW w:w="0" w:type="auto"/>
            <w:vMerge w:val="restart"/>
            <w:tcBorders>
              <w:bottom w:val="nil"/>
            </w:tcBorders>
            <w:vAlign w:val="center"/>
          </w:tcPr>
          <w:p w14:paraId="153C0AC6" w14:textId="77777777" w:rsidR="00CA56D5" w:rsidRPr="00CA56D5" w:rsidRDefault="00CA56D5" w:rsidP="00CA56D5">
            <w:pPr>
              <w:spacing w:before="0"/>
              <w:jc w:val="center"/>
              <w:rPr>
                <w:b/>
                <w:bCs/>
              </w:rPr>
            </w:pPr>
            <w:r w:rsidRPr="00CA56D5">
              <w:rPr>
                <w:b/>
                <w:bCs/>
              </w:rPr>
              <w:t>Elemento</w:t>
            </w:r>
          </w:p>
        </w:tc>
        <w:tc>
          <w:tcPr>
            <w:tcW w:w="0" w:type="auto"/>
            <w:gridSpan w:val="4"/>
            <w:tcBorders>
              <w:bottom w:val="nil"/>
            </w:tcBorders>
            <w:vAlign w:val="center"/>
          </w:tcPr>
          <w:p w14:paraId="3B75FB30" w14:textId="77777777" w:rsidR="00CA56D5" w:rsidRPr="00CA56D5" w:rsidRDefault="00CA56D5" w:rsidP="00CA56D5">
            <w:pPr>
              <w:spacing w:before="0"/>
              <w:jc w:val="center"/>
              <w:rPr>
                <w:b/>
                <w:bCs/>
              </w:rPr>
            </w:pPr>
            <w:r w:rsidRPr="00CA56D5">
              <w:rPr>
                <w:b/>
                <w:bCs/>
              </w:rPr>
              <w:t>CONAMA 2 e NOAA PEL</w:t>
            </w:r>
          </w:p>
        </w:tc>
      </w:tr>
      <w:tr w:rsidR="00CA56D5" w:rsidRPr="00CA56D5" w14:paraId="2E44A299" w14:textId="77777777" w:rsidTr="00CA56D5">
        <w:trPr>
          <w:tblHeader/>
          <w:jc w:val="center"/>
        </w:trPr>
        <w:tc>
          <w:tcPr>
            <w:tcW w:w="0" w:type="auto"/>
            <w:vMerge/>
            <w:tcBorders>
              <w:top w:val="nil"/>
              <w:bottom w:val="single" w:sz="4" w:space="0" w:color="auto"/>
            </w:tcBorders>
            <w:vAlign w:val="center"/>
          </w:tcPr>
          <w:p w14:paraId="78491A9A" w14:textId="77777777" w:rsidR="00CA56D5" w:rsidRPr="00CA56D5" w:rsidRDefault="00CA56D5" w:rsidP="00CA56D5">
            <w:pPr>
              <w:spacing w:before="0"/>
              <w:rPr>
                <w:b/>
                <w:bCs/>
              </w:rPr>
            </w:pPr>
          </w:p>
        </w:tc>
        <w:tc>
          <w:tcPr>
            <w:tcW w:w="0" w:type="auto"/>
            <w:tcBorders>
              <w:top w:val="nil"/>
              <w:bottom w:val="single" w:sz="4" w:space="0" w:color="auto"/>
            </w:tcBorders>
            <w:vAlign w:val="center"/>
          </w:tcPr>
          <w:p w14:paraId="7D3884D9" w14:textId="77777777" w:rsidR="00961048" w:rsidRDefault="00CA56D5" w:rsidP="00CA56D5">
            <w:pPr>
              <w:spacing w:before="0"/>
              <w:jc w:val="center"/>
              <w:rPr>
                <w:b/>
                <w:bCs/>
              </w:rPr>
            </w:pPr>
            <w:r w:rsidRPr="00CA56D5">
              <w:rPr>
                <w:b/>
                <w:bCs/>
              </w:rPr>
              <w:t xml:space="preserve">Limite </w:t>
            </w:r>
          </w:p>
          <w:p w14:paraId="278E81CE" w14:textId="7C4D6D58" w:rsidR="00CA56D5" w:rsidRPr="00CA56D5" w:rsidRDefault="00CA56D5" w:rsidP="00CA56D5">
            <w:pPr>
              <w:spacing w:before="0"/>
              <w:jc w:val="center"/>
              <w:rPr>
                <w:b/>
                <w:bCs/>
              </w:rPr>
            </w:pPr>
            <w:r w:rsidRPr="00CA56D5">
              <w:rPr>
                <w:b/>
                <w:bCs/>
              </w:rPr>
              <w:t>(mg kg</w:t>
            </w:r>
            <w:r w:rsidRPr="00CA56D5">
              <w:rPr>
                <w:b/>
                <w:bCs/>
                <w:vertAlign w:val="superscript"/>
              </w:rPr>
              <w:t>-1</w:t>
            </w:r>
            <w:r w:rsidRPr="00CA56D5">
              <w:rPr>
                <w:b/>
                <w:bCs/>
              </w:rPr>
              <w:t>)</w:t>
            </w:r>
          </w:p>
        </w:tc>
        <w:tc>
          <w:tcPr>
            <w:tcW w:w="0" w:type="auto"/>
            <w:tcBorders>
              <w:top w:val="nil"/>
              <w:bottom w:val="single" w:sz="4" w:space="0" w:color="auto"/>
            </w:tcBorders>
            <w:vAlign w:val="center"/>
          </w:tcPr>
          <w:p w14:paraId="7181F5BE" w14:textId="711EE320" w:rsidR="00961048" w:rsidRDefault="00961048" w:rsidP="00CA56D5">
            <w:pPr>
              <w:spacing w:before="0"/>
              <w:jc w:val="center"/>
              <w:rPr>
                <w:b/>
                <w:bCs/>
              </w:rPr>
            </w:pPr>
            <w:r>
              <w:rPr>
                <w:b/>
                <w:bCs/>
              </w:rPr>
              <w:t>Não Conformidade</w:t>
            </w:r>
          </w:p>
          <w:p w14:paraId="2116790E" w14:textId="77777777" w:rsidR="00CA56D5" w:rsidRPr="00CA56D5" w:rsidRDefault="00CA56D5" w:rsidP="00CA56D5">
            <w:pPr>
              <w:spacing w:before="0"/>
              <w:jc w:val="center"/>
              <w:rPr>
                <w:b/>
                <w:bCs/>
              </w:rPr>
            </w:pPr>
            <w:r w:rsidRPr="00CA56D5">
              <w:rPr>
                <w:b/>
                <w:bCs/>
              </w:rPr>
              <w:t>out/18 a mar/19</w:t>
            </w:r>
          </w:p>
        </w:tc>
        <w:tc>
          <w:tcPr>
            <w:tcW w:w="0" w:type="auto"/>
            <w:tcBorders>
              <w:top w:val="nil"/>
              <w:bottom w:val="single" w:sz="4" w:space="0" w:color="auto"/>
            </w:tcBorders>
            <w:vAlign w:val="center"/>
          </w:tcPr>
          <w:p w14:paraId="35C1406E" w14:textId="4F69DCCC" w:rsidR="00961048" w:rsidRDefault="00961048" w:rsidP="00CA56D5">
            <w:pPr>
              <w:spacing w:before="0"/>
              <w:jc w:val="center"/>
              <w:rPr>
                <w:b/>
                <w:bCs/>
              </w:rPr>
            </w:pPr>
            <w:r>
              <w:rPr>
                <w:b/>
                <w:bCs/>
              </w:rPr>
              <w:t xml:space="preserve">Não Conformidade  </w:t>
            </w:r>
          </w:p>
          <w:p w14:paraId="762ED0EB" w14:textId="77777777" w:rsidR="00CA56D5" w:rsidRPr="00CA56D5" w:rsidRDefault="00CA56D5" w:rsidP="00CA56D5">
            <w:pPr>
              <w:spacing w:before="0"/>
              <w:jc w:val="center"/>
              <w:rPr>
                <w:b/>
                <w:bCs/>
              </w:rPr>
            </w:pPr>
            <w:proofErr w:type="spellStart"/>
            <w:r w:rsidRPr="00CA56D5">
              <w:rPr>
                <w:b/>
                <w:bCs/>
              </w:rPr>
              <w:t>abr</w:t>
            </w:r>
            <w:proofErr w:type="spellEnd"/>
            <w:r w:rsidRPr="00CA56D5">
              <w:rPr>
                <w:b/>
                <w:bCs/>
              </w:rPr>
              <w:t>/19 a set/19</w:t>
            </w:r>
          </w:p>
        </w:tc>
        <w:tc>
          <w:tcPr>
            <w:tcW w:w="0" w:type="auto"/>
            <w:tcBorders>
              <w:top w:val="nil"/>
              <w:bottom w:val="single" w:sz="4" w:space="0" w:color="auto"/>
            </w:tcBorders>
            <w:vAlign w:val="center"/>
          </w:tcPr>
          <w:p w14:paraId="2B485747" w14:textId="15FF4EC4" w:rsidR="00961048" w:rsidRDefault="00961048" w:rsidP="00CA56D5">
            <w:pPr>
              <w:spacing w:before="0"/>
              <w:jc w:val="center"/>
              <w:rPr>
                <w:b/>
                <w:bCs/>
              </w:rPr>
            </w:pPr>
            <w:r>
              <w:rPr>
                <w:b/>
                <w:bCs/>
              </w:rPr>
              <w:t>Não Conformidade</w:t>
            </w:r>
          </w:p>
          <w:p w14:paraId="7D11C878" w14:textId="77777777" w:rsidR="00CA56D5" w:rsidRPr="00CA56D5" w:rsidRDefault="00CA56D5" w:rsidP="00CA56D5">
            <w:pPr>
              <w:spacing w:before="0"/>
              <w:jc w:val="center"/>
              <w:rPr>
                <w:b/>
                <w:bCs/>
              </w:rPr>
            </w:pPr>
            <w:r w:rsidRPr="00CA56D5">
              <w:rPr>
                <w:b/>
                <w:bCs/>
              </w:rPr>
              <w:t xml:space="preserve">set/19 a </w:t>
            </w:r>
            <w:proofErr w:type="spellStart"/>
            <w:r w:rsidRPr="00CA56D5">
              <w:rPr>
                <w:b/>
                <w:bCs/>
              </w:rPr>
              <w:t>fev</w:t>
            </w:r>
            <w:proofErr w:type="spellEnd"/>
            <w:r w:rsidRPr="00CA56D5">
              <w:rPr>
                <w:b/>
                <w:bCs/>
              </w:rPr>
              <w:t>/20</w:t>
            </w:r>
          </w:p>
        </w:tc>
      </w:tr>
      <w:tr w:rsidR="00CA56D5" w14:paraId="35B3079B" w14:textId="77777777" w:rsidTr="00CA56D5">
        <w:trPr>
          <w:jc w:val="center"/>
        </w:trPr>
        <w:tc>
          <w:tcPr>
            <w:tcW w:w="0" w:type="auto"/>
            <w:tcBorders>
              <w:bottom w:val="nil"/>
            </w:tcBorders>
            <w:vAlign w:val="center"/>
          </w:tcPr>
          <w:p w14:paraId="1A1E9CEE" w14:textId="77777777" w:rsidR="00CA56D5" w:rsidRDefault="00CA56D5" w:rsidP="00CA56D5">
            <w:pPr>
              <w:spacing w:before="0"/>
              <w:jc w:val="center"/>
            </w:pPr>
            <w:r>
              <w:t>As</w:t>
            </w:r>
          </w:p>
        </w:tc>
        <w:tc>
          <w:tcPr>
            <w:tcW w:w="0" w:type="auto"/>
            <w:tcBorders>
              <w:bottom w:val="nil"/>
            </w:tcBorders>
            <w:vAlign w:val="center"/>
          </w:tcPr>
          <w:p w14:paraId="237705AB" w14:textId="77777777" w:rsidR="00CA56D5" w:rsidRDefault="00CA56D5" w:rsidP="00CA56D5">
            <w:pPr>
              <w:spacing w:before="0"/>
              <w:jc w:val="center"/>
            </w:pPr>
            <w:r>
              <w:t>17</w:t>
            </w:r>
          </w:p>
        </w:tc>
        <w:tc>
          <w:tcPr>
            <w:tcW w:w="0" w:type="auto"/>
            <w:tcBorders>
              <w:bottom w:val="nil"/>
            </w:tcBorders>
            <w:vAlign w:val="center"/>
          </w:tcPr>
          <w:p w14:paraId="2821353C" w14:textId="77777777" w:rsidR="00CA56D5" w:rsidRDefault="00CA56D5" w:rsidP="00CA56D5">
            <w:pPr>
              <w:spacing w:before="0"/>
              <w:jc w:val="center"/>
            </w:pPr>
            <w:r>
              <w:t>20,3%</w:t>
            </w:r>
          </w:p>
        </w:tc>
        <w:tc>
          <w:tcPr>
            <w:tcW w:w="0" w:type="auto"/>
            <w:tcBorders>
              <w:bottom w:val="nil"/>
            </w:tcBorders>
            <w:vAlign w:val="center"/>
          </w:tcPr>
          <w:p w14:paraId="1D03F68C" w14:textId="77777777" w:rsidR="00CA56D5" w:rsidRDefault="00CA56D5" w:rsidP="00CA56D5">
            <w:pPr>
              <w:spacing w:before="0"/>
              <w:jc w:val="center"/>
            </w:pPr>
            <w:r>
              <w:t>16,7%</w:t>
            </w:r>
          </w:p>
        </w:tc>
        <w:tc>
          <w:tcPr>
            <w:tcW w:w="0" w:type="auto"/>
            <w:tcBorders>
              <w:bottom w:val="nil"/>
            </w:tcBorders>
            <w:vAlign w:val="center"/>
          </w:tcPr>
          <w:p w14:paraId="3C1611BB" w14:textId="77777777" w:rsidR="00CA56D5" w:rsidRDefault="00CA56D5" w:rsidP="00CA56D5">
            <w:pPr>
              <w:spacing w:before="0"/>
              <w:jc w:val="center"/>
            </w:pPr>
            <w:r>
              <w:t>13,6%</w:t>
            </w:r>
          </w:p>
        </w:tc>
      </w:tr>
      <w:tr w:rsidR="00CA56D5" w14:paraId="22F65CED" w14:textId="77777777" w:rsidTr="00CA56D5">
        <w:trPr>
          <w:jc w:val="center"/>
        </w:trPr>
        <w:tc>
          <w:tcPr>
            <w:tcW w:w="0" w:type="auto"/>
            <w:tcBorders>
              <w:top w:val="nil"/>
              <w:bottom w:val="nil"/>
            </w:tcBorders>
            <w:vAlign w:val="center"/>
          </w:tcPr>
          <w:p w14:paraId="30378287" w14:textId="77777777" w:rsidR="00CA56D5" w:rsidRDefault="00CA56D5" w:rsidP="00CA56D5">
            <w:pPr>
              <w:spacing w:before="0"/>
              <w:jc w:val="center"/>
            </w:pPr>
            <w:r>
              <w:t>Cd</w:t>
            </w:r>
          </w:p>
        </w:tc>
        <w:tc>
          <w:tcPr>
            <w:tcW w:w="0" w:type="auto"/>
            <w:tcBorders>
              <w:top w:val="nil"/>
              <w:bottom w:val="nil"/>
            </w:tcBorders>
            <w:vAlign w:val="center"/>
          </w:tcPr>
          <w:p w14:paraId="5C9737E1" w14:textId="77777777" w:rsidR="00CA56D5" w:rsidRDefault="00CA56D5" w:rsidP="00CA56D5">
            <w:pPr>
              <w:spacing w:before="0"/>
              <w:jc w:val="center"/>
            </w:pPr>
            <w:r>
              <w:t>3,53</w:t>
            </w:r>
          </w:p>
        </w:tc>
        <w:tc>
          <w:tcPr>
            <w:tcW w:w="0" w:type="auto"/>
            <w:tcBorders>
              <w:top w:val="nil"/>
              <w:bottom w:val="nil"/>
            </w:tcBorders>
            <w:vAlign w:val="center"/>
          </w:tcPr>
          <w:p w14:paraId="30478D7A" w14:textId="77777777" w:rsidR="00CA56D5" w:rsidRDefault="00CA56D5" w:rsidP="00CA56D5">
            <w:pPr>
              <w:spacing w:before="0"/>
              <w:jc w:val="center"/>
            </w:pPr>
            <w:r>
              <w:t>0,0%</w:t>
            </w:r>
          </w:p>
        </w:tc>
        <w:tc>
          <w:tcPr>
            <w:tcW w:w="0" w:type="auto"/>
            <w:tcBorders>
              <w:top w:val="nil"/>
              <w:bottom w:val="nil"/>
            </w:tcBorders>
            <w:vAlign w:val="center"/>
          </w:tcPr>
          <w:p w14:paraId="440B59E3" w14:textId="77777777" w:rsidR="00CA56D5" w:rsidRDefault="00CA56D5" w:rsidP="00CA56D5">
            <w:pPr>
              <w:spacing w:before="0"/>
              <w:jc w:val="center"/>
            </w:pPr>
            <w:r>
              <w:t>0,0%</w:t>
            </w:r>
          </w:p>
        </w:tc>
        <w:tc>
          <w:tcPr>
            <w:tcW w:w="0" w:type="auto"/>
            <w:tcBorders>
              <w:top w:val="nil"/>
              <w:bottom w:val="nil"/>
            </w:tcBorders>
            <w:vAlign w:val="center"/>
          </w:tcPr>
          <w:p w14:paraId="028427C5" w14:textId="77777777" w:rsidR="00CA56D5" w:rsidRDefault="00CA56D5" w:rsidP="00CA56D5">
            <w:pPr>
              <w:spacing w:before="0"/>
              <w:jc w:val="center"/>
            </w:pPr>
            <w:r>
              <w:t>0,0%</w:t>
            </w:r>
          </w:p>
        </w:tc>
      </w:tr>
      <w:tr w:rsidR="00CA56D5" w14:paraId="4B11B4ED" w14:textId="77777777" w:rsidTr="00CA56D5">
        <w:trPr>
          <w:jc w:val="center"/>
        </w:trPr>
        <w:tc>
          <w:tcPr>
            <w:tcW w:w="0" w:type="auto"/>
            <w:tcBorders>
              <w:top w:val="nil"/>
              <w:bottom w:val="nil"/>
            </w:tcBorders>
            <w:vAlign w:val="center"/>
          </w:tcPr>
          <w:p w14:paraId="6057B7F4" w14:textId="77777777" w:rsidR="00CA56D5" w:rsidRDefault="00CA56D5" w:rsidP="00CA56D5">
            <w:pPr>
              <w:spacing w:before="0"/>
              <w:jc w:val="center"/>
            </w:pPr>
            <w:r>
              <w:t>Cr</w:t>
            </w:r>
          </w:p>
        </w:tc>
        <w:tc>
          <w:tcPr>
            <w:tcW w:w="0" w:type="auto"/>
            <w:tcBorders>
              <w:top w:val="nil"/>
              <w:bottom w:val="nil"/>
            </w:tcBorders>
            <w:vAlign w:val="center"/>
          </w:tcPr>
          <w:p w14:paraId="203903E7" w14:textId="77777777" w:rsidR="00CA56D5" w:rsidRDefault="00CA56D5" w:rsidP="00CA56D5">
            <w:pPr>
              <w:spacing w:before="0"/>
              <w:jc w:val="center"/>
            </w:pPr>
            <w:r>
              <w:t>90</w:t>
            </w:r>
          </w:p>
        </w:tc>
        <w:tc>
          <w:tcPr>
            <w:tcW w:w="0" w:type="auto"/>
            <w:tcBorders>
              <w:top w:val="nil"/>
              <w:bottom w:val="nil"/>
            </w:tcBorders>
            <w:vAlign w:val="center"/>
          </w:tcPr>
          <w:p w14:paraId="46577CD9" w14:textId="77777777" w:rsidR="00CA56D5" w:rsidRDefault="00CA56D5" w:rsidP="00CA56D5">
            <w:pPr>
              <w:spacing w:before="0"/>
              <w:jc w:val="center"/>
            </w:pPr>
            <w:r>
              <w:t>26,1%</w:t>
            </w:r>
          </w:p>
        </w:tc>
        <w:tc>
          <w:tcPr>
            <w:tcW w:w="0" w:type="auto"/>
            <w:tcBorders>
              <w:top w:val="nil"/>
              <w:bottom w:val="nil"/>
            </w:tcBorders>
            <w:vAlign w:val="center"/>
          </w:tcPr>
          <w:p w14:paraId="255D790F" w14:textId="77777777" w:rsidR="00CA56D5" w:rsidRDefault="00CA56D5" w:rsidP="00CA56D5">
            <w:pPr>
              <w:spacing w:before="0"/>
              <w:jc w:val="center"/>
            </w:pPr>
            <w:r>
              <w:t>12,5%</w:t>
            </w:r>
          </w:p>
        </w:tc>
        <w:tc>
          <w:tcPr>
            <w:tcW w:w="0" w:type="auto"/>
            <w:tcBorders>
              <w:top w:val="nil"/>
              <w:bottom w:val="nil"/>
            </w:tcBorders>
            <w:vAlign w:val="center"/>
          </w:tcPr>
          <w:p w14:paraId="0DFA0154" w14:textId="77777777" w:rsidR="00CA56D5" w:rsidRDefault="00CA56D5" w:rsidP="00CA56D5">
            <w:pPr>
              <w:spacing w:before="0"/>
              <w:jc w:val="center"/>
            </w:pPr>
            <w:r>
              <w:t>4,5%</w:t>
            </w:r>
          </w:p>
        </w:tc>
      </w:tr>
      <w:tr w:rsidR="00CA56D5" w14:paraId="45A006F1" w14:textId="77777777" w:rsidTr="00CA56D5">
        <w:trPr>
          <w:jc w:val="center"/>
        </w:trPr>
        <w:tc>
          <w:tcPr>
            <w:tcW w:w="0" w:type="auto"/>
            <w:tcBorders>
              <w:top w:val="nil"/>
              <w:bottom w:val="nil"/>
            </w:tcBorders>
            <w:vAlign w:val="center"/>
          </w:tcPr>
          <w:p w14:paraId="0156D7E5" w14:textId="77777777" w:rsidR="00CA56D5" w:rsidRDefault="00CA56D5" w:rsidP="00CA56D5">
            <w:pPr>
              <w:spacing w:before="0"/>
              <w:jc w:val="center"/>
            </w:pPr>
            <w:r>
              <w:t>Cu</w:t>
            </w:r>
          </w:p>
        </w:tc>
        <w:tc>
          <w:tcPr>
            <w:tcW w:w="0" w:type="auto"/>
            <w:tcBorders>
              <w:top w:val="nil"/>
              <w:bottom w:val="nil"/>
            </w:tcBorders>
            <w:vAlign w:val="center"/>
          </w:tcPr>
          <w:p w14:paraId="7BA51FF7" w14:textId="77777777" w:rsidR="00CA56D5" w:rsidRDefault="00CA56D5" w:rsidP="00CA56D5">
            <w:pPr>
              <w:spacing w:before="0"/>
              <w:jc w:val="center"/>
            </w:pPr>
            <w:r>
              <w:t>197</w:t>
            </w:r>
          </w:p>
        </w:tc>
        <w:tc>
          <w:tcPr>
            <w:tcW w:w="0" w:type="auto"/>
            <w:tcBorders>
              <w:top w:val="nil"/>
              <w:bottom w:val="nil"/>
            </w:tcBorders>
            <w:vAlign w:val="center"/>
          </w:tcPr>
          <w:p w14:paraId="08C83448" w14:textId="77777777" w:rsidR="00CA56D5" w:rsidRDefault="00CA56D5" w:rsidP="00CA56D5">
            <w:pPr>
              <w:spacing w:before="0"/>
              <w:jc w:val="center"/>
            </w:pPr>
            <w:r>
              <w:t>0,0%</w:t>
            </w:r>
          </w:p>
        </w:tc>
        <w:tc>
          <w:tcPr>
            <w:tcW w:w="0" w:type="auto"/>
            <w:tcBorders>
              <w:top w:val="nil"/>
              <w:bottom w:val="nil"/>
            </w:tcBorders>
            <w:vAlign w:val="center"/>
          </w:tcPr>
          <w:p w14:paraId="038A5C3E" w14:textId="77777777" w:rsidR="00CA56D5" w:rsidRDefault="00CA56D5" w:rsidP="00CA56D5">
            <w:pPr>
              <w:spacing w:before="0"/>
              <w:jc w:val="center"/>
            </w:pPr>
            <w:r>
              <w:t>0,0%</w:t>
            </w:r>
          </w:p>
        </w:tc>
        <w:tc>
          <w:tcPr>
            <w:tcW w:w="0" w:type="auto"/>
            <w:tcBorders>
              <w:top w:val="nil"/>
              <w:bottom w:val="nil"/>
            </w:tcBorders>
            <w:vAlign w:val="center"/>
          </w:tcPr>
          <w:p w14:paraId="6E015ED5" w14:textId="77777777" w:rsidR="00CA56D5" w:rsidRDefault="00CA56D5" w:rsidP="00CA56D5">
            <w:pPr>
              <w:spacing w:before="0"/>
              <w:jc w:val="center"/>
            </w:pPr>
            <w:r>
              <w:t>0,0%</w:t>
            </w:r>
          </w:p>
        </w:tc>
      </w:tr>
      <w:tr w:rsidR="00CA56D5" w14:paraId="680A7CC5" w14:textId="77777777" w:rsidTr="00CA56D5">
        <w:trPr>
          <w:jc w:val="center"/>
        </w:trPr>
        <w:tc>
          <w:tcPr>
            <w:tcW w:w="0" w:type="auto"/>
            <w:tcBorders>
              <w:top w:val="nil"/>
              <w:bottom w:val="nil"/>
            </w:tcBorders>
            <w:vAlign w:val="center"/>
          </w:tcPr>
          <w:p w14:paraId="2737253E" w14:textId="77777777" w:rsidR="00CA56D5" w:rsidRDefault="00CA56D5" w:rsidP="00CA56D5">
            <w:pPr>
              <w:spacing w:before="0"/>
              <w:jc w:val="center"/>
            </w:pPr>
            <w:r>
              <w:t>Hg</w:t>
            </w:r>
          </w:p>
        </w:tc>
        <w:tc>
          <w:tcPr>
            <w:tcW w:w="0" w:type="auto"/>
            <w:tcBorders>
              <w:top w:val="nil"/>
              <w:bottom w:val="nil"/>
            </w:tcBorders>
            <w:vAlign w:val="center"/>
          </w:tcPr>
          <w:p w14:paraId="099C7F43" w14:textId="77777777" w:rsidR="00CA56D5" w:rsidRDefault="00CA56D5" w:rsidP="00CA56D5">
            <w:pPr>
              <w:spacing w:before="0"/>
              <w:jc w:val="center"/>
            </w:pPr>
            <w:r>
              <w:t>0,486</w:t>
            </w:r>
          </w:p>
        </w:tc>
        <w:tc>
          <w:tcPr>
            <w:tcW w:w="0" w:type="auto"/>
            <w:tcBorders>
              <w:top w:val="nil"/>
              <w:bottom w:val="nil"/>
            </w:tcBorders>
            <w:vAlign w:val="center"/>
          </w:tcPr>
          <w:p w14:paraId="53CAE89B" w14:textId="77777777" w:rsidR="00CA56D5" w:rsidRDefault="00CA56D5" w:rsidP="00CA56D5">
            <w:pPr>
              <w:spacing w:before="0"/>
              <w:jc w:val="center"/>
            </w:pPr>
            <w:r>
              <w:t>0,0%</w:t>
            </w:r>
          </w:p>
        </w:tc>
        <w:tc>
          <w:tcPr>
            <w:tcW w:w="0" w:type="auto"/>
            <w:tcBorders>
              <w:top w:val="nil"/>
              <w:bottom w:val="nil"/>
            </w:tcBorders>
            <w:vAlign w:val="center"/>
          </w:tcPr>
          <w:p w14:paraId="2A4A7626" w14:textId="77777777" w:rsidR="00CA56D5" w:rsidRDefault="00CA56D5" w:rsidP="00CA56D5">
            <w:pPr>
              <w:spacing w:before="0"/>
              <w:jc w:val="center"/>
            </w:pPr>
            <w:r>
              <w:t>0,0%</w:t>
            </w:r>
          </w:p>
        </w:tc>
        <w:tc>
          <w:tcPr>
            <w:tcW w:w="0" w:type="auto"/>
            <w:tcBorders>
              <w:top w:val="nil"/>
              <w:bottom w:val="nil"/>
            </w:tcBorders>
          </w:tcPr>
          <w:p w14:paraId="05A3629B" w14:textId="77777777" w:rsidR="00CA56D5" w:rsidRDefault="00CA56D5" w:rsidP="00CA56D5">
            <w:pPr>
              <w:spacing w:before="0"/>
              <w:jc w:val="center"/>
            </w:pPr>
            <w:r w:rsidRPr="00E24270">
              <w:t>0,0%</w:t>
            </w:r>
          </w:p>
        </w:tc>
      </w:tr>
      <w:tr w:rsidR="00CA56D5" w14:paraId="7448E492" w14:textId="77777777" w:rsidTr="00CA56D5">
        <w:trPr>
          <w:jc w:val="center"/>
        </w:trPr>
        <w:tc>
          <w:tcPr>
            <w:tcW w:w="0" w:type="auto"/>
            <w:tcBorders>
              <w:top w:val="nil"/>
              <w:bottom w:val="nil"/>
            </w:tcBorders>
            <w:vAlign w:val="center"/>
          </w:tcPr>
          <w:p w14:paraId="75616EB3" w14:textId="77777777" w:rsidR="00CA56D5" w:rsidRDefault="00CA56D5" w:rsidP="00CA56D5">
            <w:pPr>
              <w:spacing w:before="0"/>
              <w:jc w:val="center"/>
            </w:pPr>
            <w:r>
              <w:t>Ni</w:t>
            </w:r>
          </w:p>
        </w:tc>
        <w:tc>
          <w:tcPr>
            <w:tcW w:w="0" w:type="auto"/>
            <w:tcBorders>
              <w:top w:val="nil"/>
              <w:bottom w:val="nil"/>
            </w:tcBorders>
            <w:vAlign w:val="center"/>
          </w:tcPr>
          <w:p w14:paraId="35E0C0C4" w14:textId="77777777" w:rsidR="00CA56D5" w:rsidRDefault="00CA56D5" w:rsidP="00CA56D5">
            <w:pPr>
              <w:spacing w:before="0"/>
              <w:jc w:val="center"/>
            </w:pPr>
            <w:r>
              <w:t>36</w:t>
            </w:r>
          </w:p>
        </w:tc>
        <w:tc>
          <w:tcPr>
            <w:tcW w:w="0" w:type="auto"/>
            <w:tcBorders>
              <w:top w:val="nil"/>
              <w:bottom w:val="nil"/>
            </w:tcBorders>
            <w:vAlign w:val="center"/>
          </w:tcPr>
          <w:p w14:paraId="0A4FDCDF" w14:textId="77777777" w:rsidR="00CA56D5" w:rsidRDefault="00CA56D5" w:rsidP="00CA56D5">
            <w:pPr>
              <w:spacing w:before="0"/>
              <w:jc w:val="center"/>
            </w:pPr>
            <w:r>
              <w:t>11,6%</w:t>
            </w:r>
          </w:p>
        </w:tc>
        <w:tc>
          <w:tcPr>
            <w:tcW w:w="0" w:type="auto"/>
            <w:tcBorders>
              <w:top w:val="nil"/>
              <w:bottom w:val="nil"/>
            </w:tcBorders>
            <w:vAlign w:val="center"/>
          </w:tcPr>
          <w:p w14:paraId="34D91D4C" w14:textId="77777777" w:rsidR="00CA56D5" w:rsidRDefault="00CA56D5" w:rsidP="00CA56D5">
            <w:pPr>
              <w:spacing w:before="0"/>
              <w:jc w:val="center"/>
            </w:pPr>
            <w:r>
              <w:t>8,3%</w:t>
            </w:r>
          </w:p>
        </w:tc>
        <w:tc>
          <w:tcPr>
            <w:tcW w:w="0" w:type="auto"/>
            <w:tcBorders>
              <w:top w:val="nil"/>
              <w:bottom w:val="nil"/>
            </w:tcBorders>
          </w:tcPr>
          <w:p w14:paraId="0845AEA0" w14:textId="77777777" w:rsidR="00CA56D5" w:rsidRDefault="00CA56D5" w:rsidP="00CA56D5">
            <w:pPr>
              <w:spacing w:before="0"/>
              <w:jc w:val="center"/>
            </w:pPr>
            <w:r w:rsidRPr="00E24270">
              <w:t>0,0%</w:t>
            </w:r>
          </w:p>
        </w:tc>
      </w:tr>
      <w:tr w:rsidR="00CA56D5" w14:paraId="7D8EFBA8" w14:textId="77777777" w:rsidTr="00CA56D5">
        <w:trPr>
          <w:jc w:val="center"/>
        </w:trPr>
        <w:tc>
          <w:tcPr>
            <w:tcW w:w="0" w:type="auto"/>
            <w:tcBorders>
              <w:top w:val="nil"/>
              <w:bottom w:val="nil"/>
            </w:tcBorders>
            <w:vAlign w:val="center"/>
          </w:tcPr>
          <w:p w14:paraId="2B75BAF0" w14:textId="77777777" w:rsidR="00CA56D5" w:rsidRDefault="00CA56D5" w:rsidP="00CA56D5">
            <w:pPr>
              <w:spacing w:before="0"/>
              <w:jc w:val="center"/>
            </w:pPr>
            <w:r>
              <w:t>Pb</w:t>
            </w:r>
          </w:p>
        </w:tc>
        <w:tc>
          <w:tcPr>
            <w:tcW w:w="0" w:type="auto"/>
            <w:tcBorders>
              <w:top w:val="nil"/>
              <w:bottom w:val="nil"/>
            </w:tcBorders>
            <w:vAlign w:val="center"/>
          </w:tcPr>
          <w:p w14:paraId="5E915371" w14:textId="77777777" w:rsidR="00CA56D5" w:rsidRDefault="00CA56D5" w:rsidP="00CA56D5">
            <w:pPr>
              <w:spacing w:before="0"/>
              <w:jc w:val="center"/>
            </w:pPr>
            <w:r>
              <w:t>91,3</w:t>
            </w:r>
          </w:p>
        </w:tc>
        <w:tc>
          <w:tcPr>
            <w:tcW w:w="0" w:type="auto"/>
            <w:tcBorders>
              <w:top w:val="nil"/>
              <w:bottom w:val="nil"/>
            </w:tcBorders>
            <w:vAlign w:val="center"/>
          </w:tcPr>
          <w:p w14:paraId="083AF01E" w14:textId="77777777" w:rsidR="00CA56D5" w:rsidRDefault="00CA56D5" w:rsidP="00CA56D5">
            <w:pPr>
              <w:spacing w:before="0"/>
              <w:jc w:val="center"/>
            </w:pPr>
            <w:r>
              <w:t>0,0%</w:t>
            </w:r>
          </w:p>
        </w:tc>
        <w:tc>
          <w:tcPr>
            <w:tcW w:w="0" w:type="auto"/>
            <w:tcBorders>
              <w:top w:val="nil"/>
              <w:bottom w:val="nil"/>
            </w:tcBorders>
            <w:vAlign w:val="center"/>
          </w:tcPr>
          <w:p w14:paraId="581A6F1C" w14:textId="77777777" w:rsidR="00CA56D5" w:rsidRDefault="00CA56D5" w:rsidP="00CA56D5">
            <w:pPr>
              <w:spacing w:before="0"/>
              <w:jc w:val="center"/>
            </w:pPr>
            <w:r>
              <w:t>0,0%</w:t>
            </w:r>
          </w:p>
        </w:tc>
        <w:tc>
          <w:tcPr>
            <w:tcW w:w="0" w:type="auto"/>
            <w:tcBorders>
              <w:top w:val="nil"/>
              <w:bottom w:val="nil"/>
            </w:tcBorders>
          </w:tcPr>
          <w:p w14:paraId="09257891" w14:textId="77777777" w:rsidR="00CA56D5" w:rsidRDefault="00CA56D5" w:rsidP="00CA56D5">
            <w:pPr>
              <w:spacing w:before="0"/>
              <w:jc w:val="center"/>
            </w:pPr>
            <w:r w:rsidRPr="00E24270">
              <w:t>0,0%</w:t>
            </w:r>
          </w:p>
        </w:tc>
      </w:tr>
      <w:tr w:rsidR="00CA56D5" w14:paraId="2B423B5F" w14:textId="77777777" w:rsidTr="00CA56D5">
        <w:trPr>
          <w:jc w:val="center"/>
        </w:trPr>
        <w:tc>
          <w:tcPr>
            <w:tcW w:w="0" w:type="auto"/>
            <w:tcBorders>
              <w:top w:val="nil"/>
            </w:tcBorders>
            <w:vAlign w:val="center"/>
          </w:tcPr>
          <w:p w14:paraId="715969F1" w14:textId="77777777" w:rsidR="00CA56D5" w:rsidRDefault="00CA56D5" w:rsidP="00CA56D5">
            <w:pPr>
              <w:spacing w:before="0"/>
              <w:jc w:val="center"/>
            </w:pPr>
            <w:r>
              <w:t>Zn</w:t>
            </w:r>
          </w:p>
        </w:tc>
        <w:tc>
          <w:tcPr>
            <w:tcW w:w="0" w:type="auto"/>
            <w:tcBorders>
              <w:top w:val="nil"/>
            </w:tcBorders>
            <w:vAlign w:val="center"/>
          </w:tcPr>
          <w:p w14:paraId="0E4243F5" w14:textId="77777777" w:rsidR="00CA56D5" w:rsidRDefault="00CA56D5" w:rsidP="00CA56D5">
            <w:pPr>
              <w:spacing w:before="0"/>
              <w:jc w:val="center"/>
            </w:pPr>
            <w:r>
              <w:t>315</w:t>
            </w:r>
          </w:p>
        </w:tc>
        <w:tc>
          <w:tcPr>
            <w:tcW w:w="0" w:type="auto"/>
            <w:tcBorders>
              <w:top w:val="nil"/>
            </w:tcBorders>
            <w:vAlign w:val="center"/>
          </w:tcPr>
          <w:p w14:paraId="1F35B5CB" w14:textId="77777777" w:rsidR="00CA56D5" w:rsidRDefault="00CA56D5" w:rsidP="00CA56D5">
            <w:pPr>
              <w:spacing w:before="0"/>
              <w:jc w:val="center"/>
            </w:pPr>
            <w:r>
              <w:t>0,0%</w:t>
            </w:r>
          </w:p>
        </w:tc>
        <w:tc>
          <w:tcPr>
            <w:tcW w:w="0" w:type="auto"/>
            <w:tcBorders>
              <w:top w:val="nil"/>
            </w:tcBorders>
            <w:vAlign w:val="center"/>
          </w:tcPr>
          <w:p w14:paraId="6A8BF187" w14:textId="77777777" w:rsidR="00CA56D5" w:rsidRDefault="00CA56D5" w:rsidP="00CA56D5">
            <w:pPr>
              <w:spacing w:before="0"/>
              <w:jc w:val="center"/>
            </w:pPr>
            <w:r>
              <w:t>0,0%</w:t>
            </w:r>
          </w:p>
        </w:tc>
        <w:tc>
          <w:tcPr>
            <w:tcW w:w="0" w:type="auto"/>
            <w:tcBorders>
              <w:top w:val="nil"/>
            </w:tcBorders>
          </w:tcPr>
          <w:p w14:paraId="15BDBE82" w14:textId="77777777" w:rsidR="00CA56D5" w:rsidRDefault="00CA56D5" w:rsidP="00CA56D5">
            <w:pPr>
              <w:spacing w:before="0"/>
              <w:jc w:val="center"/>
            </w:pPr>
            <w:r w:rsidRPr="00E24270">
              <w:t>0,0%</w:t>
            </w:r>
          </w:p>
        </w:tc>
      </w:tr>
    </w:tbl>
    <w:p w14:paraId="069523FB" w14:textId="77777777" w:rsidR="00CA56D5" w:rsidRDefault="00CA56D5" w:rsidP="00CA56D5"/>
    <w:p w14:paraId="22921AD8" w14:textId="77777777" w:rsidR="00CA56D5" w:rsidRDefault="00CA56D5" w:rsidP="00CA56D5">
      <w:pPr>
        <w:sectPr w:rsidR="00CA56D5" w:rsidSect="00F3091D">
          <w:headerReference w:type="default" r:id="rId68"/>
          <w:pgSz w:w="11906" w:h="16838"/>
          <w:pgMar w:top="1701" w:right="1134" w:bottom="1134" w:left="1701" w:header="680" w:footer="567" w:gutter="0"/>
          <w:cols w:space="708"/>
          <w:docGrid w:linePitch="360"/>
        </w:sectPr>
      </w:pPr>
    </w:p>
    <w:p w14:paraId="5A1C8EF5" w14:textId="4120926B" w:rsidR="00CA56D5" w:rsidRDefault="00CA56D5" w:rsidP="00CA56D5">
      <w:pPr>
        <w:pStyle w:val="Legenda"/>
        <w:keepNext/>
      </w:pPr>
      <w:bookmarkStart w:id="121" w:name="_Ref41725821"/>
      <w:bookmarkStart w:id="122" w:name="_Toc46992167"/>
      <w:r>
        <w:lastRenderedPageBreak/>
        <w:t xml:space="preserve">Figura </w:t>
      </w:r>
      <w:bookmarkStart w:id="123" w:name="Fig_sed_MT_nao_conform_As_Cr_Ni"/>
      <w:r>
        <w:fldChar w:fldCharType="begin"/>
      </w:r>
      <w:r>
        <w:instrText xml:space="preserve"> SEQ Figura \* ARABIC </w:instrText>
      </w:r>
      <w:r>
        <w:fldChar w:fldCharType="separate"/>
      </w:r>
      <w:r w:rsidR="002C014F">
        <w:rPr>
          <w:noProof/>
        </w:rPr>
        <w:t>33</w:t>
      </w:r>
      <w:r>
        <w:rPr>
          <w:noProof/>
        </w:rPr>
        <w:fldChar w:fldCharType="end"/>
      </w:r>
      <w:bookmarkEnd w:id="121"/>
      <w:bookmarkEnd w:id="123"/>
      <w:r>
        <w:t xml:space="preserve"> - Variabilidade por ambiente para As, Cr e Ni. em sedimento no parâmetro de metais totais.</w:t>
      </w:r>
      <w:bookmarkEnd w:id="122"/>
    </w:p>
    <w:p w14:paraId="14A53994" w14:textId="77777777" w:rsidR="00CA56D5" w:rsidRDefault="00CA56D5" w:rsidP="00CA56D5">
      <w:pPr>
        <w:jc w:val="center"/>
        <w:sectPr w:rsidR="00CA56D5" w:rsidSect="00F3091D">
          <w:headerReference w:type="default" r:id="rId69"/>
          <w:pgSz w:w="16838" w:h="11906" w:orient="landscape"/>
          <w:pgMar w:top="1701" w:right="1134" w:bottom="1134" w:left="1417" w:header="680" w:footer="567" w:gutter="0"/>
          <w:cols w:space="708"/>
          <w:docGrid w:linePitch="360"/>
        </w:sectPr>
      </w:pPr>
    </w:p>
    <w:p w14:paraId="219E9DD0" w14:textId="77777777" w:rsidR="00CA56D5" w:rsidRDefault="00CA56D5" w:rsidP="00CA56D5">
      <w:pPr>
        <w:sectPr w:rsidR="00CA56D5" w:rsidSect="00F3091D">
          <w:type w:val="continuous"/>
          <w:pgSz w:w="16838" w:h="11906" w:orient="landscape"/>
          <w:pgMar w:top="1701" w:right="1134" w:bottom="1134" w:left="1417" w:header="708" w:footer="708" w:gutter="0"/>
          <w:cols w:num="3" w:space="196"/>
          <w:docGrid w:linePitch="360"/>
        </w:sectPr>
      </w:pPr>
      <w:r w:rsidRPr="00F87CAC">
        <w:rPr>
          <w:noProof/>
          <w:lang w:eastAsia="pt-BR"/>
        </w:rPr>
        <w:drawing>
          <wp:inline distT="0" distB="0" distL="0" distR="0" wp14:anchorId="53C7E3E6" wp14:editId="1A67592C">
            <wp:extent cx="2423921" cy="4680000"/>
            <wp:effectExtent l="0" t="0" r="0" b="635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423921" cy="4680000"/>
                    </a:xfrm>
                    <a:prstGeom prst="rect">
                      <a:avLst/>
                    </a:prstGeom>
                    <a:noFill/>
                    <a:ln>
                      <a:noFill/>
                    </a:ln>
                  </pic:spPr>
                </pic:pic>
              </a:graphicData>
            </a:graphic>
          </wp:inline>
        </w:drawing>
      </w:r>
      <w:r>
        <w:br w:type="column"/>
      </w:r>
      <w:r w:rsidRPr="00F87CAC">
        <w:rPr>
          <w:noProof/>
          <w:lang w:eastAsia="pt-BR"/>
        </w:rPr>
        <w:drawing>
          <wp:inline distT="0" distB="0" distL="0" distR="0" wp14:anchorId="3BC03AFF" wp14:editId="767C0DE6">
            <wp:extent cx="2423921" cy="4680000"/>
            <wp:effectExtent l="0" t="0" r="0" b="635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423921" cy="4680000"/>
                    </a:xfrm>
                    <a:prstGeom prst="rect">
                      <a:avLst/>
                    </a:prstGeom>
                    <a:noFill/>
                    <a:ln>
                      <a:noFill/>
                    </a:ln>
                  </pic:spPr>
                </pic:pic>
              </a:graphicData>
            </a:graphic>
          </wp:inline>
        </w:drawing>
      </w:r>
      <w:r>
        <w:br w:type="column"/>
      </w:r>
      <w:r w:rsidRPr="008D2433">
        <w:rPr>
          <w:noProof/>
          <w:lang w:eastAsia="pt-BR"/>
        </w:rPr>
        <w:drawing>
          <wp:inline distT="0" distB="0" distL="0" distR="0" wp14:anchorId="2D5DE1E3" wp14:editId="07DCE36F">
            <wp:extent cx="2422508" cy="4680000"/>
            <wp:effectExtent l="0" t="0" r="0" b="635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422508" cy="4680000"/>
                    </a:xfrm>
                    <a:prstGeom prst="rect">
                      <a:avLst/>
                    </a:prstGeom>
                    <a:noFill/>
                    <a:ln>
                      <a:noFill/>
                    </a:ln>
                  </pic:spPr>
                </pic:pic>
              </a:graphicData>
            </a:graphic>
          </wp:inline>
        </w:drawing>
      </w:r>
    </w:p>
    <w:p w14:paraId="5D18ED22" w14:textId="6CB60090" w:rsidR="00CA56D5" w:rsidRDefault="00CA56D5" w:rsidP="00CA56D5">
      <w:pPr>
        <w:pStyle w:val="Legenda"/>
        <w:keepNext/>
      </w:pPr>
      <w:bookmarkStart w:id="124" w:name="_Ref41726953"/>
      <w:bookmarkStart w:id="125" w:name="_Toc46992168"/>
      <w:r>
        <w:lastRenderedPageBreak/>
        <w:t xml:space="preserve">Figura </w:t>
      </w:r>
      <w:bookmarkStart w:id="126" w:name="Fig_sed_MT_nao_conform_Al_Fe_Mn"/>
      <w:r>
        <w:fldChar w:fldCharType="begin"/>
      </w:r>
      <w:r>
        <w:instrText xml:space="preserve"> SEQ Figura \* ARABIC </w:instrText>
      </w:r>
      <w:r>
        <w:fldChar w:fldCharType="separate"/>
      </w:r>
      <w:r w:rsidR="002C014F">
        <w:rPr>
          <w:noProof/>
        </w:rPr>
        <w:t>34</w:t>
      </w:r>
      <w:r>
        <w:rPr>
          <w:noProof/>
        </w:rPr>
        <w:fldChar w:fldCharType="end"/>
      </w:r>
      <w:bookmarkEnd w:id="124"/>
      <w:bookmarkEnd w:id="126"/>
      <w:r>
        <w:t xml:space="preserve"> - </w:t>
      </w:r>
      <w:r w:rsidRPr="00CA543E">
        <w:t xml:space="preserve">Variabilidade por ambiente para </w:t>
      </w:r>
      <w:r>
        <w:t>Al</w:t>
      </w:r>
      <w:r w:rsidRPr="00CA543E">
        <w:t xml:space="preserve">, </w:t>
      </w:r>
      <w:r>
        <w:t>Fe</w:t>
      </w:r>
      <w:r w:rsidRPr="00CA543E">
        <w:t xml:space="preserve"> e </w:t>
      </w:r>
      <w:r>
        <w:t>Mn</w:t>
      </w:r>
      <w:r w:rsidRPr="00CA543E">
        <w:t xml:space="preserve">. </w:t>
      </w:r>
      <w:r>
        <w:t>em sedimento no parâmetro de metais totais.</w:t>
      </w:r>
      <w:bookmarkEnd w:id="125"/>
    </w:p>
    <w:p w14:paraId="204E1083" w14:textId="77777777" w:rsidR="00CA56D5" w:rsidRDefault="00CA56D5" w:rsidP="00CA56D5">
      <w:pPr>
        <w:jc w:val="center"/>
        <w:sectPr w:rsidR="00CA56D5" w:rsidSect="00F3091D">
          <w:pgSz w:w="16838" w:h="11906" w:orient="landscape"/>
          <w:pgMar w:top="1701" w:right="1134" w:bottom="1134" w:left="1417" w:header="680" w:footer="567" w:gutter="0"/>
          <w:cols w:space="196"/>
          <w:docGrid w:linePitch="360"/>
        </w:sectPr>
      </w:pPr>
    </w:p>
    <w:p w14:paraId="6DDC3F4A" w14:textId="77777777" w:rsidR="00CA56D5" w:rsidRDefault="00CA56D5" w:rsidP="00CA56D5">
      <w:r w:rsidRPr="00F87CAC">
        <w:rPr>
          <w:noProof/>
          <w:lang w:eastAsia="pt-BR"/>
        </w:rPr>
        <w:drawing>
          <wp:inline distT="0" distB="0" distL="0" distR="0" wp14:anchorId="3C9B145F" wp14:editId="0948282F">
            <wp:extent cx="2423213" cy="4680000"/>
            <wp:effectExtent l="0" t="0" r="0" b="6350"/>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423213" cy="4680000"/>
                    </a:xfrm>
                    <a:prstGeom prst="rect">
                      <a:avLst/>
                    </a:prstGeom>
                    <a:noFill/>
                    <a:ln>
                      <a:noFill/>
                    </a:ln>
                  </pic:spPr>
                </pic:pic>
              </a:graphicData>
            </a:graphic>
          </wp:inline>
        </w:drawing>
      </w:r>
      <w:r>
        <w:br w:type="column"/>
      </w:r>
      <w:r w:rsidRPr="00E13E94">
        <w:rPr>
          <w:noProof/>
          <w:lang w:eastAsia="pt-BR"/>
        </w:rPr>
        <w:drawing>
          <wp:inline distT="0" distB="0" distL="0" distR="0" wp14:anchorId="777A0ED9" wp14:editId="3206F15D">
            <wp:extent cx="2421877" cy="4680000"/>
            <wp:effectExtent l="0" t="0" r="0" b="635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421877" cy="4680000"/>
                    </a:xfrm>
                    <a:prstGeom prst="rect">
                      <a:avLst/>
                    </a:prstGeom>
                    <a:noFill/>
                    <a:ln>
                      <a:noFill/>
                    </a:ln>
                  </pic:spPr>
                </pic:pic>
              </a:graphicData>
            </a:graphic>
          </wp:inline>
        </w:drawing>
      </w:r>
    </w:p>
    <w:p w14:paraId="3574E196" w14:textId="77777777" w:rsidR="00CA56D5" w:rsidRDefault="00CA56D5" w:rsidP="00CA56D5">
      <w:pPr>
        <w:sectPr w:rsidR="00CA56D5" w:rsidSect="00F3091D">
          <w:type w:val="continuous"/>
          <w:pgSz w:w="16838" w:h="11906" w:orient="landscape"/>
          <w:pgMar w:top="1701" w:right="1134" w:bottom="1134" w:left="1417" w:header="708" w:footer="708" w:gutter="0"/>
          <w:cols w:num="3" w:space="196"/>
          <w:docGrid w:linePitch="360"/>
        </w:sectPr>
      </w:pPr>
      <w:r w:rsidRPr="00E13E94">
        <w:rPr>
          <w:noProof/>
          <w:lang w:eastAsia="pt-BR"/>
        </w:rPr>
        <w:drawing>
          <wp:inline distT="0" distB="0" distL="0" distR="0" wp14:anchorId="199D38BA" wp14:editId="6796E3CB">
            <wp:extent cx="2421877" cy="4680000"/>
            <wp:effectExtent l="0" t="0" r="0" b="635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421877" cy="4680000"/>
                    </a:xfrm>
                    <a:prstGeom prst="rect">
                      <a:avLst/>
                    </a:prstGeom>
                    <a:noFill/>
                    <a:ln>
                      <a:noFill/>
                    </a:ln>
                  </pic:spPr>
                </pic:pic>
              </a:graphicData>
            </a:graphic>
          </wp:inline>
        </w:drawing>
      </w:r>
    </w:p>
    <w:p w14:paraId="18DCEDB0" w14:textId="147457C7" w:rsidR="00CA56D5" w:rsidRDefault="00CA56D5" w:rsidP="00F761E8">
      <w:pPr>
        <w:ind w:firstLine="708"/>
      </w:pPr>
      <w:r>
        <w:lastRenderedPageBreak/>
        <w:t>No que diz respeito às não conformidades</w:t>
      </w:r>
      <w:r w:rsidR="00F761E8">
        <w:t>,</w:t>
      </w:r>
      <w:r>
        <w:t xml:space="preserve"> é possível perceber na </w:t>
      </w:r>
      <w:r>
        <w:fldChar w:fldCharType="begin"/>
      </w:r>
      <w:r>
        <w:instrText xml:space="preserve"> REF _Ref41652860 \h </w:instrText>
      </w:r>
      <w:r>
        <w:fldChar w:fldCharType="separate"/>
      </w:r>
      <w:r w:rsidR="002C014F">
        <w:t xml:space="preserve">Tabela </w:t>
      </w:r>
      <w:r w:rsidR="002C014F">
        <w:rPr>
          <w:noProof/>
        </w:rPr>
        <w:t>12</w:t>
      </w:r>
      <w:r>
        <w:fldChar w:fldCharType="end"/>
      </w:r>
      <w:r>
        <w:t xml:space="preserve"> que nenhum elemento que não apresentava não conformidades no ano 1 passou a apresentar não conformidade no período de transição</w:t>
      </w:r>
      <w:r w:rsidR="00F761E8">
        <w:t>, para sedimentos metais totais</w:t>
      </w:r>
      <w:r>
        <w:t>. Além disso, aqueles que apresentaram não conformidades</w:t>
      </w:r>
      <w:r w:rsidR="00F761E8">
        <w:t xml:space="preserve"> como o</w:t>
      </w:r>
      <w:r>
        <w:t xml:space="preserve"> As, Cr e Ni, todos apresentaram redução no período de transição, chegando a zerar no caso do Ni. </w:t>
      </w:r>
    </w:p>
    <w:p w14:paraId="1D99E7DC" w14:textId="449FE87A" w:rsidR="00CA56D5" w:rsidRDefault="00CA56D5" w:rsidP="00F761E8">
      <w:pPr>
        <w:ind w:firstLine="708"/>
      </w:pPr>
      <w:r>
        <w:t xml:space="preserve">A </w:t>
      </w:r>
      <w:r>
        <w:fldChar w:fldCharType="begin"/>
      </w:r>
      <w:r>
        <w:instrText xml:space="preserve"> REF _Ref41725821 \h </w:instrText>
      </w:r>
      <w:r>
        <w:fldChar w:fldCharType="separate"/>
      </w:r>
      <w:r w:rsidR="002C014F">
        <w:t xml:space="preserve">Figura </w:t>
      </w:r>
      <w:r w:rsidR="002C014F">
        <w:rPr>
          <w:noProof/>
        </w:rPr>
        <w:t>33</w:t>
      </w:r>
      <w:r>
        <w:fldChar w:fldCharType="end"/>
      </w:r>
      <w:r>
        <w:t xml:space="preserve"> apresenta o comportamento por semestre e por ambiente para As, Cr e Ni comparado aos seus respectivos limites estabelecidos pelo CONAMA. É possível perceber que todas as não conformidades apresentadas na </w:t>
      </w:r>
      <w:r>
        <w:fldChar w:fldCharType="begin"/>
      </w:r>
      <w:r>
        <w:instrText xml:space="preserve"> REF _Ref41652860 \h </w:instrText>
      </w:r>
      <w:r>
        <w:fldChar w:fldCharType="separate"/>
      </w:r>
      <w:r w:rsidR="002C014F">
        <w:t xml:space="preserve">Tabela </w:t>
      </w:r>
      <w:r w:rsidR="002C014F">
        <w:rPr>
          <w:noProof/>
        </w:rPr>
        <w:t>12</w:t>
      </w:r>
      <w:r>
        <w:fldChar w:fldCharType="end"/>
      </w:r>
      <w:r>
        <w:t xml:space="preserve"> para esses elementos se encontram nos ambientes lacustres e que para estes ambientes as reduções </w:t>
      </w:r>
      <w:r w:rsidR="00F761E8">
        <w:t>d</w:t>
      </w:r>
      <w:r>
        <w:t>as não conformidades para o último semestre não acompanham comportamentos do semestre equivalente (out/18 a mar/19).</w:t>
      </w:r>
    </w:p>
    <w:p w14:paraId="3460A1DD" w14:textId="51EDACB9" w:rsidR="00CA56D5" w:rsidRDefault="00CA56D5" w:rsidP="00F761E8">
      <w:pPr>
        <w:ind w:firstLine="708"/>
      </w:pPr>
      <w:r>
        <w:t xml:space="preserve">Os elementos Al, Fe e Mn não possuem limites estabelecidos por legislação, mas a </w:t>
      </w:r>
      <w:r>
        <w:fldChar w:fldCharType="begin"/>
      </w:r>
      <w:r>
        <w:instrText xml:space="preserve"> REF _Ref41726953 \h </w:instrText>
      </w:r>
      <w:r>
        <w:fldChar w:fldCharType="separate"/>
      </w:r>
      <w:r w:rsidR="002C014F">
        <w:t xml:space="preserve">Figura </w:t>
      </w:r>
      <w:r w:rsidR="002C014F">
        <w:rPr>
          <w:noProof/>
        </w:rPr>
        <w:t>34</w:t>
      </w:r>
      <w:r>
        <w:fldChar w:fldCharType="end"/>
      </w:r>
      <w:r>
        <w:t xml:space="preserve"> apresenta os comportamentos desses elementos por semestre para cada ambiente dulcícola. Como é possível perceber</w:t>
      </w:r>
      <w:r w:rsidR="00F761E8">
        <w:t>,</w:t>
      </w:r>
      <w:r>
        <w:t xml:space="preserve"> </w:t>
      </w:r>
      <w:r w:rsidR="00F761E8">
        <w:t>houve um</w:t>
      </w:r>
      <w:r>
        <w:t xml:space="preserve"> aumento expressivo na média das concentrações de Fe nas </w:t>
      </w:r>
      <w:r w:rsidR="00F761E8">
        <w:t>L</w:t>
      </w:r>
      <w:r>
        <w:t>agoas, como discutido anteriormente.</w:t>
      </w:r>
    </w:p>
    <w:p w14:paraId="16AEA544" w14:textId="5AE0032A" w:rsidR="00CA288B" w:rsidRDefault="00CA288B" w:rsidP="00F761E8">
      <w:pPr>
        <w:ind w:firstLine="708"/>
      </w:pPr>
      <w:r>
        <w:t xml:space="preserve">As concentrações obtidas no período de transição do PMBA para todos os elementos que foram monitorados pelo IEMA </w:t>
      </w:r>
      <w:r w:rsidRPr="00391DB5">
        <w:rPr>
          <w:rFonts w:cs="Arial"/>
          <w:szCs w:val="20"/>
        </w:rPr>
        <w:t>no período de 09/11/2015 a 18/11/2015</w:t>
      </w:r>
      <w:r>
        <w:rPr>
          <w:rFonts w:cs="Arial"/>
          <w:szCs w:val="20"/>
        </w:rPr>
        <w:t xml:space="preserve"> (</w:t>
      </w:r>
      <w:r>
        <w:t xml:space="preserve">após o rompimento da barragem, mas antes da passagem da pluma) ainda apresentam valores maiores com </w:t>
      </w:r>
      <w:proofErr w:type="spellStart"/>
      <w:r>
        <w:t>exeção</w:t>
      </w:r>
      <w:proofErr w:type="spellEnd"/>
      <w:r>
        <w:t xml:space="preserve"> de As, Cr e Zn, como mostra a </w:t>
      </w:r>
      <w:r w:rsidR="004250C1">
        <w:fldChar w:fldCharType="begin"/>
      </w:r>
      <w:r w:rsidR="004250C1">
        <w:instrText xml:space="preserve"> REF _Ref42087499 \h </w:instrText>
      </w:r>
      <w:r w:rsidR="004250C1">
        <w:fldChar w:fldCharType="separate"/>
      </w:r>
      <w:r w:rsidR="002C014F">
        <w:t xml:space="preserve">Tabela </w:t>
      </w:r>
      <w:r w:rsidR="002C014F">
        <w:rPr>
          <w:noProof/>
        </w:rPr>
        <w:t>13</w:t>
      </w:r>
      <w:r w:rsidR="004250C1">
        <w:fldChar w:fldCharType="end"/>
      </w:r>
      <w:r w:rsidR="004250C1">
        <w:t>. Comparado ao ano 1, apenas</w:t>
      </w:r>
      <w:r w:rsidR="00F761E8">
        <w:t xml:space="preserve"> </w:t>
      </w:r>
      <w:r w:rsidR="004250C1">
        <w:t>o arsênio apre</w:t>
      </w:r>
      <w:r w:rsidR="00F761E8">
        <w:t>s</w:t>
      </w:r>
      <w:r w:rsidR="004250C1">
        <w:t>entou mudança, pois os outros dois elementos já apresentavam valores menores no monitoramento do IEMA.</w:t>
      </w:r>
    </w:p>
    <w:p w14:paraId="3CD5590D" w14:textId="1AD1D29E" w:rsidR="00CA288B" w:rsidRDefault="00CA288B" w:rsidP="00CA288B">
      <w:pPr>
        <w:pStyle w:val="Legenda"/>
        <w:keepNext/>
      </w:pPr>
      <w:bookmarkStart w:id="127" w:name="_Ref42087499"/>
      <w:bookmarkStart w:id="128" w:name="_Toc46992188"/>
      <w:r>
        <w:t xml:space="preserve">Tabela </w:t>
      </w:r>
      <w:fldSimple w:instr=" SEQ Tabela \* ARABIC ">
        <w:r w:rsidR="002C014F">
          <w:rPr>
            <w:noProof/>
          </w:rPr>
          <w:t>13</w:t>
        </w:r>
      </w:fldSimple>
      <w:bookmarkEnd w:id="127"/>
      <w:r>
        <w:t xml:space="preserve"> </w:t>
      </w:r>
      <w:r w:rsidRPr="00E34A92">
        <w:t xml:space="preserve">- Concentrações de alguns elementos </w:t>
      </w:r>
      <w:r>
        <w:t>no sedimento</w:t>
      </w:r>
      <w:r w:rsidRPr="00E34A92">
        <w:t xml:space="preserve"> para o parâmetro metais totais segundo IEMA e PMBA</w:t>
      </w:r>
      <w:bookmarkEnd w:id="128"/>
    </w:p>
    <w:tbl>
      <w:tblPr>
        <w:tblW w:w="5000"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1402"/>
        <w:gridCol w:w="2163"/>
        <w:gridCol w:w="2585"/>
        <w:gridCol w:w="2921"/>
      </w:tblGrid>
      <w:tr w:rsidR="00BA26BE" w:rsidRPr="00BA26BE" w14:paraId="26E0FFD1" w14:textId="77777777" w:rsidTr="00CA288B">
        <w:trPr>
          <w:trHeight w:val="1200"/>
          <w:tblHeader/>
          <w:jc w:val="center"/>
        </w:trPr>
        <w:tc>
          <w:tcPr>
            <w:tcW w:w="773" w:type="pct"/>
            <w:tcBorders>
              <w:top w:val="single" w:sz="4" w:space="0" w:color="auto"/>
              <w:bottom w:val="single" w:sz="4" w:space="0" w:color="auto"/>
            </w:tcBorders>
            <w:shd w:val="clear" w:color="auto" w:fill="auto"/>
            <w:noWrap/>
            <w:vAlign w:val="center"/>
            <w:hideMark/>
          </w:tcPr>
          <w:p w14:paraId="69B178EF" w14:textId="77777777" w:rsidR="00BA26BE" w:rsidRPr="00BA26BE" w:rsidRDefault="00BA26BE" w:rsidP="00CA288B">
            <w:pPr>
              <w:spacing w:before="0" w:after="0"/>
              <w:jc w:val="center"/>
              <w:rPr>
                <w:rFonts w:ascii="Calibri" w:eastAsia="Times New Roman" w:hAnsi="Calibri" w:cs="Times New Roman"/>
                <w:b/>
                <w:bCs/>
                <w:color w:val="000000"/>
                <w:sz w:val="22"/>
                <w:lang w:eastAsia="pt-BR"/>
              </w:rPr>
            </w:pPr>
            <w:r w:rsidRPr="00BA26BE">
              <w:rPr>
                <w:rFonts w:ascii="Calibri" w:eastAsia="Times New Roman" w:hAnsi="Calibri" w:cs="Times New Roman"/>
                <w:b/>
                <w:bCs/>
                <w:color w:val="000000"/>
                <w:sz w:val="22"/>
                <w:lang w:eastAsia="pt-BR"/>
              </w:rPr>
              <w:t>Elemento</w:t>
            </w:r>
          </w:p>
        </w:tc>
        <w:tc>
          <w:tcPr>
            <w:tcW w:w="1192" w:type="pct"/>
            <w:tcBorders>
              <w:top w:val="single" w:sz="4" w:space="0" w:color="auto"/>
              <w:bottom w:val="single" w:sz="4" w:space="0" w:color="auto"/>
            </w:tcBorders>
            <w:shd w:val="clear" w:color="auto" w:fill="auto"/>
            <w:vAlign w:val="center"/>
            <w:hideMark/>
          </w:tcPr>
          <w:p w14:paraId="58794536" w14:textId="77777777" w:rsidR="00BA26BE" w:rsidRPr="00BA26BE" w:rsidRDefault="00BA26BE" w:rsidP="00CA288B">
            <w:pPr>
              <w:spacing w:before="0" w:after="0"/>
              <w:jc w:val="center"/>
              <w:rPr>
                <w:rFonts w:ascii="Calibri" w:eastAsia="Times New Roman" w:hAnsi="Calibri" w:cs="Times New Roman"/>
                <w:b/>
                <w:bCs/>
                <w:color w:val="000000"/>
                <w:sz w:val="22"/>
                <w:lang w:eastAsia="pt-BR"/>
              </w:rPr>
            </w:pPr>
            <w:r w:rsidRPr="00BA26BE">
              <w:rPr>
                <w:rFonts w:ascii="Calibri" w:eastAsia="Times New Roman" w:hAnsi="Calibri" w:cs="Times New Roman"/>
                <w:b/>
                <w:bCs/>
                <w:color w:val="000000"/>
                <w:sz w:val="22"/>
                <w:lang w:eastAsia="pt-BR"/>
              </w:rPr>
              <w:t>IEMA</w:t>
            </w:r>
            <w:r w:rsidRPr="00BA26BE">
              <w:rPr>
                <w:rFonts w:ascii="Calibri" w:eastAsia="Times New Roman" w:hAnsi="Calibri" w:cs="Times New Roman"/>
                <w:b/>
                <w:bCs/>
                <w:color w:val="000000"/>
                <w:sz w:val="22"/>
                <w:lang w:eastAsia="pt-BR"/>
              </w:rPr>
              <w:br/>
              <w:t>(</w:t>
            </w:r>
            <w:proofErr w:type="spellStart"/>
            <w:r w:rsidRPr="00BA26BE">
              <w:rPr>
                <w:rFonts w:ascii="Calibri" w:eastAsia="Times New Roman" w:hAnsi="Calibri" w:cs="Times New Roman"/>
                <w:b/>
                <w:bCs/>
                <w:color w:val="000000"/>
                <w:sz w:val="22"/>
                <w:lang w:eastAsia="pt-BR"/>
              </w:rPr>
              <w:t>nov</w:t>
            </w:r>
            <w:proofErr w:type="spellEnd"/>
            <w:r w:rsidRPr="00BA26BE">
              <w:rPr>
                <w:rFonts w:ascii="Calibri" w:eastAsia="Times New Roman" w:hAnsi="Calibri" w:cs="Times New Roman"/>
                <w:b/>
                <w:bCs/>
                <w:color w:val="000000"/>
                <w:sz w:val="22"/>
                <w:lang w:eastAsia="pt-BR"/>
              </w:rPr>
              <w:t>/15)</w:t>
            </w:r>
            <w:r w:rsidRPr="00BA26BE">
              <w:rPr>
                <w:rFonts w:ascii="Calibri" w:eastAsia="Times New Roman" w:hAnsi="Calibri" w:cs="Times New Roman"/>
                <w:b/>
                <w:bCs/>
                <w:color w:val="000000"/>
                <w:sz w:val="22"/>
                <w:lang w:eastAsia="pt-BR"/>
              </w:rPr>
              <w:br/>
              <w:t>(mg kg</w:t>
            </w:r>
            <w:r w:rsidRPr="00BA26BE">
              <w:rPr>
                <w:rFonts w:ascii="Calibri" w:eastAsia="Times New Roman" w:hAnsi="Calibri" w:cs="Times New Roman"/>
                <w:b/>
                <w:bCs/>
                <w:color w:val="000000"/>
                <w:sz w:val="22"/>
                <w:vertAlign w:val="superscript"/>
                <w:lang w:eastAsia="pt-BR"/>
              </w:rPr>
              <w:t>-1</w:t>
            </w:r>
            <w:r w:rsidRPr="00BA26BE">
              <w:rPr>
                <w:rFonts w:ascii="Calibri" w:eastAsia="Times New Roman" w:hAnsi="Calibri" w:cs="Times New Roman"/>
                <w:b/>
                <w:bCs/>
                <w:color w:val="000000"/>
                <w:sz w:val="22"/>
                <w:lang w:eastAsia="pt-BR"/>
              </w:rPr>
              <w:t>)</w:t>
            </w:r>
          </w:p>
        </w:tc>
        <w:tc>
          <w:tcPr>
            <w:tcW w:w="1425" w:type="pct"/>
            <w:tcBorders>
              <w:top w:val="single" w:sz="4" w:space="0" w:color="auto"/>
              <w:bottom w:val="single" w:sz="4" w:space="0" w:color="auto"/>
            </w:tcBorders>
            <w:shd w:val="clear" w:color="auto" w:fill="auto"/>
            <w:vAlign w:val="center"/>
            <w:hideMark/>
          </w:tcPr>
          <w:p w14:paraId="3F610108" w14:textId="77777777" w:rsidR="00BA26BE" w:rsidRPr="00BA26BE" w:rsidRDefault="00BA26BE" w:rsidP="00CA288B">
            <w:pPr>
              <w:spacing w:before="0" w:after="0"/>
              <w:jc w:val="center"/>
              <w:rPr>
                <w:rFonts w:ascii="Calibri" w:eastAsia="Times New Roman" w:hAnsi="Calibri" w:cs="Times New Roman"/>
                <w:b/>
                <w:bCs/>
                <w:color w:val="000000"/>
                <w:sz w:val="22"/>
                <w:lang w:eastAsia="pt-BR"/>
              </w:rPr>
            </w:pPr>
            <w:r w:rsidRPr="00BA26BE">
              <w:rPr>
                <w:rFonts w:ascii="Calibri" w:eastAsia="Times New Roman" w:hAnsi="Calibri" w:cs="Times New Roman"/>
                <w:b/>
                <w:bCs/>
                <w:color w:val="000000"/>
                <w:sz w:val="22"/>
                <w:lang w:eastAsia="pt-BR"/>
              </w:rPr>
              <w:t>PMBA</w:t>
            </w:r>
            <w:r w:rsidRPr="00BA26BE">
              <w:rPr>
                <w:rFonts w:ascii="Calibri" w:eastAsia="Times New Roman" w:hAnsi="Calibri" w:cs="Times New Roman"/>
                <w:b/>
                <w:bCs/>
                <w:color w:val="000000"/>
                <w:sz w:val="22"/>
                <w:lang w:eastAsia="pt-BR"/>
              </w:rPr>
              <w:br/>
              <w:t>(</w:t>
            </w:r>
            <w:proofErr w:type="spellStart"/>
            <w:r w:rsidRPr="00BA26BE">
              <w:rPr>
                <w:rFonts w:ascii="Calibri" w:eastAsia="Times New Roman" w:hAnsi="Calibri" w:cs="Times New Roman"/>
                <w:b/>
                <w:bCs/>
                <w:color w:val="000000"/>
                <w:sz w:val="22"/>
                <w:lang w:eastAsia="pt-BR"/>
              </w:rPr>
              <w:t>nov</w:t>
            </w:r>
            <w:proofErr w:type="spellEnd"/>
            <w:r w:rsidRPr="00BA26BE">
              <w:rPr>
                <w:rFonts w:ascii="Calibri" w:eastAsia="Times New Roman" w:hAnsi="Calibri" w:cs="Times New Roman"/>
                <w:b/>
                <w:bCs/>
                <w:color w:val="000000"/>
                <w:sz w:val="22"/>
                <w:lang w:eastAsia="pt-BR"/>
              </w:rPr>
              <w:t xml:space="preserve">/19 a </w:t>
            </w:r>
            <w:proofErr w:type="spellStart"/>
            <w:r w:rsidRPr="00BA26BE">
              <w:rPr>
                <w:rFonts w:ascii="Calibri" w:eastAsia="Times New Roman" w:hAnsi="Calibri" w:cs="Times New Roman"/>
                <w:b/>
                <w:bCs/>
                <w:color w:val="000000"/>
                <w:sz w:val="22"/>
                <w:lang w:eastAsia="pt-BR"/>
              </w:rPr>
              <w:t>fev</w:t>
            </w:r>
            <w:proofErr w:type="spellEnd"/>
            <w:r w:rsidRPr="00BA26BE">
              <w:rPr>
                <w:rFonts w:ascii="Calibri" w:eastAsia="Times New Roman" w:hAnsi="Calibri" w:cs="Times New Roman"/>
                <w:b/>
                <w:bCs/>
                <w:color w:val="000000"/>
                <w:sz w:val="22"/>
                <w:lang w:eastAsia="pt-BR"/>
              </w:rPr>
              <w:t>/20)</w:t>
            </w:r>
            <w:r w:rsidRPr="00BA26BE">
              <w:rPr>
                <w:rFonts w:ascii="Calibri" w:eastAsia="Times New Roman" w:hAnsi="Calibri" w:cs="Times New Roman"/>
                <w:b/>
                <w:bCs/>
                <w:color w:val="000000"/>
                <w:sz w:val="22"/>
                <w:lang w:eastAsia="pt-BR"/>
              </w:rPr>
              <w:br/>
              <w:t>(mg kg</w:t>
            </w:r>
            <w:r w:rsidRPr="00BA26BE">
              <w:rPr>
                <w:rFonts w:ascii="Calibri" w:eastAsia="Times New Roman" w:hAnsi="Calibri" w:cs="Times New Roman"/>
                <w:b/>
                <w:bCs/>
                <w:color w:val="000000"/>
                <w:sz w:val="22"/>
                <w:vertAlign w:val="superscript"/>
                <w:lang w:eastAsia="pt-BR"/>
              </w:rPr>
              <w:t>-1</w:t>
            </w:r>
            <w:r w:rsidRPr="00BA26BE">
              <w:rPr>
                <w:rFonts w:ascii="Calibri" w:eastAsia="Times New Roman" w:hAnsi="Calibri" w:cs="Times New Roman"/>
                <w:b/>
                <w:bCs/>
                <w:color w:val="000000"/>
                <w:sz w:val="22"/>
                <w:lang w:eastAsia="pt-BR"/>
              </w:rPr>
              <w:t>)</w:t>
            </w:r>
          </w:p>
        </w:tc>
        <w:tc>
          <w:tcPr>
            <w:tcW w:w="1610" w:type="pct"/>
            <w:tcBorders>
              <w:top w:val="single" w:sz="4" w:space="0" w:color="auto"/>
              <w:bottom w:val="single" w:sz="4" w:space="0" w:color="auto"/>
            </w:tcBorders>
            <w:shd w:val="clear" w:color="auto" w:fill="auto"/>
            <w:vAlign w:val="bottom"/>
            <w:hideMark/>
          </w:tcPr>
          <w:p w14:paraId="077176A3" w14:textId="77777777" w:rsidR="00BA26BE" w:rsidRPr="00BA26BE" w:rsidRDefault="00BA26BE" w:rsidP="00CA288B">
            <w:pPr>
              <w:spacing w:before="0" w:after="0"/>
              <w:jc w:val="center"/>
              <w:rPr>
                <w:rFonts w:ascii="Calibri" w:eastAsia="Times New Roman" w:hAnsi="Calibri" w:cs="Times New Roman"/>
                <w:b/>
                <w:bCs/>
                <w:color w:val="000000"/>
                <w:sz w:val="22"/>
                <w:lang w:eastAsia="pt-BR"/>
              </w:rPr>
            </w:pPr>
            <w:r w:rsidRPr="00BA26BE">
              <w:rPr>
                <w:rFonts w:ascii="Calibri" w:eastAsia="Times New Roman" w:hAnsi="Calibri" w:cs="Times New Roman"/>
                <w:b/>
                <w:bCs/>
                <w:color w:val="000000"/>
                <w:sz w:val="22"/>
                <w:lang w:eastAsia="pt-BR"/>
              </w:rPr>
              <w:t>Diferença percentual</w:t>
            </w:r>
            <w:r w:rsidRPr="00BA26BE">
              <w:rPr>
                <w:rFonts w:ascii="Calibri" w:eastAsia="Times New Roman" w:hAnsi="Calibri" w:cs="Times New Roman"/>
                <w:b/>
                <w:bCs/>
                <w:color w:val="000000"/>
                <w:sz w:val="22"/>
                <w:lang w:eastAsia="pt-BR"/>
              </w:rPr>
              <w:br/>
              <w:t>(PMBA/IEMA)</w:t>
            </w:r>
            <w:r w:rsidRPr="00BA26BE">
              <w:rPr>
                <w:rFonts w:ascii="Calibri" w:eastAsia="Times New Roman" w:hAnsi="Calibri" w:cs="Times New Roman"/>
                <w:b/>
                <w:bCs/>
                <w:color w:val="000000"/>
                <w:sz w:val="22"/>
                <w:lang w:eastAsia="pt-BR"/>
              </w:rPr>
              <w:br/>
              <w:t>(%)</w:t>
            </w:r>
          </w:p>
        </w:tc>
      </w:tr>
      <w:tr w:rsidR="00BA26BE" w:rsidRPr="00BA26BE" w14:paraId="61FDA676" w14:textId="77777777" w:rsidTr="00CA288B">
        <w:trPr>
          <w:trHeight w:val="300"/>
          <w:jc w:val="center"/>
        </w:trPr>
        <w:tc>
          <w:tcPr>
            <w:tcW w:w="773" w:type="pct"/>
            <w:tcBorders>
              <w:top w:val="single" w:sz="4" w:space="0" w:color="auto"/>
            </w:tcBorders>
            <w:shd w:val="clear" w:color="auto" w:fill="auto"/>
            <w:noWrap/>
            <w:vAlign w:val="center"/>
            <w:hideMark/>
          </w:tcPr>
          <w:p w14:paraId="20C2BC09"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As</w:t>
            </w:r>
          </w:p>
        </w:tc>
        <w:tc>
          <w:tcPr>
            <w:tcW w:w="1192" w:type="pct"/>
            <w:tcBorders>
              <w:top w:val="single" w:sz="4" w:space="0" w:color="auto"/>
            </w:tcBorders>
            <w:shd w:val="clear" w:color="auto" w:fill="auto"/>
            <w:noWrap/>
            <w:vAlign w:val="center"/>
            <w:hideMark/>
          </w:tcPr>
          <w:p w14:paraId="69B46734"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5,8</w:t>
            </w:r>
          </w:p>
        </w:tc>
        <w:tc>
          <w:tcPr>
            <w:tcW w:w="1425" w:type="pct"/>
            <w:tcBorders>
              <w:top w:val="single" w:sz="4" w:space="0" w:color="auto"/>
            </w:tcBorders>
            <w:shd w:val="clear" w:color="auto" w:fill="auto"/>
            <w:noWrap/>
            <w:vAlign w:val="center"/>
            <w:hideMark/>
          </w:tcPr>
          <w:p w14:paraId="48E83019"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3,6</w:t>
            </w:r>
          </w:p>
        </w:tc>
        <w:tc>
          <w:tcPr>
            <w:tcW w:w="1610" w:type="pct"/>
            <w:tcBorders>
              <w:top w:val="single" w:sz="4" w:space="0" w:color="auto"/>
            </w:tcBorders>
            <w:shd w:val="clear" w:color="auto" w:fill="auto"/>
            <w:noWrap/>
            <w:vAlign w:val="bottom"/>
            <w:hideMark/>
          </w:tcPr>
          <w:p w14:paraId="0E8A12BD"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-38%</w:t>
            </w:r>
          </w:p>
        </w:tc>
      </w:tr>
      <w:tr w:rsidR="00BA26BE" w:rsidRPr="00BA26BE" w14:paraId="6CC7FB86" w14:textId="77777777" w:rsidTr="00CA288B">
        <w:trPr>
          <w:trHeight w:val="300"/>
          <w:jc w:val="center"/>
        </w:trPr>
        <w:tc>
          <w:tcPr>
            <w:tcW w:w="773" w:type="pct"/>
            <w:shd w:val="clear" w:color="auto" w:fill="auto"/>
            <w:noWrap/>
            <w:vAlign w:val="center"/>
            <w:hideMark/>
          </w:tcPr>
          <w:p w14:paraId="5AE7F9D9"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Ba</w:t>
            </w:r>
          </w:p>
        </w:tc>
        <w:tc>
          <w:tcPr>
            <w:tcW w:w="1192" w:type="pct"/>
            <w:shd w:val="clear" w:color="auto" w:fill="auto"/>
            <w:noWrap/>
            <w:vAlign w:val="center"/>
            <w:hideMark/>
          </w:tcPr>
          <w:p w14:paraId="1068D2C6"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13,9</w:t>
            </w:r>
          </w:p>
        </w:tc>
        <w:tc>
          <w:tcPr>
            <w:tcW w:w="1425" w:type="pct"/>
            <w:shd w:val="clear" w:color="auto" w:fill="auto"/>
            <w:noWrap/>
            <w:vAlign w:val="bottom"/>
            <w:hideMark/>
          </w:tcPr>
          <w:p w14:paraId="206AC0B6"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266,6</w:t>
            </w:r>
          </w:p>
        </w:tc>
        <w:tc>
          <w:tcPr>
            <w:tcW w:w="1610" w:type="pct"/>
            <w:shd w:val="clear" w:color="auto" w:fill="auto"/>
            <w:noWrap/>
            <w:vAlign w:val="bottom"/>
            <w:hideMark/>
          </w:tcPr>
          <w:p w14:paraId="3A6FC43C"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1818%</w:t>
            </w:r>
          </w:p>
        </w:tc>
      </w:tr>
      <w:tr w:rsidR="00BA26BE" w:rsidRPr="00BA26BE" w14:paraId="7C4E8E39" w14:textId="77777777" w:rsidTr="00CA288B">
        <w:trPr>
          <w:trHeight w:val="300"/>
          <w:jc w:val="center"/>
        </w:trPr>
        <w:tc>
          <w:tcPr>
            <w:tcW w:w="773" w:type="pct"/>
            <w:shd w:val="clear" w:color="auto" w:fill="auto"/>
            <w:noWrap/>
            <w:vAlign w:val="center"/>
            <w:hideMark/>
          </w:tcPr>
          <w:p w14:paraId="4F0939B1"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Cr</w:t>
            </w:r>
          </w:p>
        </w:tc>
        <w:tc>
          <w:tcPr>
            <w:tcW w:w="1192" w:type="pct"/>
            <w:shd w:val="clear" w:color="auto" w:fill="auto"/>
            <w:noWrap/>
            <w:vAlign w:val="center"/>
            <w:hideMark/>
          </w:tcPr>
          <w:p w14:paraId="2FF71870"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15,2</w:t>
            </w:r>
          </w:p>
        </w:tc>
        <w:tc>
          <w:tcPr>
            <w:tcW w:w="1425" w:type="pct"/>
            <w:shd w:val="clear" w:color="auto" w:fill="auto"/>
            <w:noWrap/>
            <w:vAlign w:val="center"/>
            <w:hideMark/>
          </w:tcPr>
          <w:p w14:paraId="35715210"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10,5</w:t>
            </w:r>
          </w:p>
        </w:tc>
        <w:tc>
          <w:tcPr>
            <w:tcW w:w="1610" w:type="pct"/>
            <w:shd w:val="clear" w:color="auto" w:fill="auto"/>
            <w:noWrap/>
            <w:vAlign w:val="bottom"/>
            <w:hideMark/>
          </w:tcPr>
          <w:p w14:paraId="5765ED54"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-31%</w:t>
            </w:r>
          </w:p>
        </w:tc>
      </w:tr>
      <w:tr w:rsidR="00BA26BE" w:rsidRPr="00BA26BE" w14:paraId="6953A969" w14:textId="77777777" w:rsidTr="00CA288B">
        <w:trPr>
          <w:trHeight w:val="300"/>
          <w:jc w:val="center"/>
        </w:trPr>
        <w:tc>
          <w:tcPr>
            <w:tcW w:w="773" w:type="pct"/>
            <w:shd w:val="clear" w:color="auto" w:fill="auto"/>
            <w:noWrap/>
            <w:vAlign w:val="center"/>
            <w:hideMark/>
          </w:tcPr>
          <w:p w14:paraId="6CB31152"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Cu</w:t>
            </w:r>
          </w:p>
        </w:tc>
        <w:tc>
          <w:tcPr>
            <w:tcW w:w="1192" w:type="pct"/>
            <w:shd w:val="clear" w:color="auto" w:fill="auto"/>
            <w:noWrap/>
            <w:vAlign w:val="center"/>
            <w:hideMark/>
          </w:tcPr>
          <w:p w14:paraId="2CAC774B"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3,2</w:t>
            </w:r>
          </w:p>
        </w:tc>
        <w:tc>
          <w:tcPr>
            <w:tcW w:w="1425" w:type="pct"/>
            <w:shd w:val="clear" w:color="auto" w:fill="auto"/>
            <w:noWrap/>
            <w:vAlign w:val="center"/>
            <w:hideMark/>
          </w:tcPr>
          <w:p w14:paraId="6F693F80"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9,5</w:t>
            </w:r>
          </w:p>
        </w:tc>
        <w:tc>
          <w:tcPr>
            <w:tcW w:w="1610" w:type="pct"/>
            <w:shd w:val="clear" w:color="auto" w:fill="auto"/>
            <w:noWrap/>
            <w:vAlign w:val="bottom"/>
            <w:hideMark/>
          </w:tcPr>
          <w:p w14:paraId="33B607BD"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197%</w:t>
            </w:r>
          </w:p>
        </w:tc>
      </w:tr>
      <w:tr w:rsidR="00BA26BE" w:rsidRPr="00BA26BE" w14:paraId="6885B417" w14:textId="77777777" w:rsidTr="00CA288B">
        <w:trPr>
          <w:trHeight w:val="300"/>
          <w:jc w:val="center"/>
        </w:trPr>
        <w:tc>
          <w:tcPr>
            <w:tcW w:w="773" w:type="pct"/>
            <w:shd w:val="clear" w:color="auto" w:fill="auto"/>
            <w:noWrap/>
            <w:vAlign w:val="center"/>
            <w:hideMark/>
          </w:tcPr>
          <w:p w14:paraId="4997137C"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Fe</w:t>
            </w:r>
          </w:p>
        </w:tc>
        <w:tc>
          <w:tcPr>
            <w:tcW w:w="1192" w:type="pct"/>
            <w:shd w:val="clear" w:color="auto" w:fill="auto"/>
            <w:noWrap/>
            <w:vAlign w:val="center"/>
            <w:hideMark/>
          </w:tcPr>
          <w:p w14:paraId="43D35CEE"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8191</w:t>
            </w:r>
          </w:p>
        </w:tc>
        <w:tc>
          <w:tcPr>
            <w:tcW w:w="1425" w:type="pct"/>
            <w:shd w:val="clear" w:color="auto" w:fill="auto"/>
            <w:noWrap/>
            <w:vAlign w:val="bottom"/>
            <w:hideMark/>
          </w:tcPr>
          <w:p w14:paraId="1EA0EAFB"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12289,3</w:t>
            </w:r>
          </w:p>
        </w:tc>
        <w:tc>
          <w:tcPr>
            <w:tcW w:w="1610" w:type="pct"/>
            <w:shd w:val="clear" w:color="auto" w:fill="auto"/>
            <w:noWrap/>
            <w:vAlign w:val="bottom"/>
            <w:hideMark/>
          </w:tcPr>
          <w:p w14:paraId="1E6374D4"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50%</w:t>
            </w:r>
          </w:p>
        </w:tc>
      </w:tr>
      <w:tr w:rsidR="00BA26BE" w:rsidRPr="00BA26BE" w14:paraId="3175910E" w14:textId="77777777" w:rsidTr="00CA288B">
        <w:trPr>
          <w:trHeight w:val="300"/>
          <w:jc w:val="center"/>
        </w:trPr>
        <w:tc>
          <w:tcPr>
            <w:tcW w:w="773" w:type="pct"/>
            <w:shd w:val="clear" w:color="auto" w:fill="auto"/>
            <w:noWrap/>
            <w:vAlign w:val="center"/>
            <w:hideMark/>
          </w:tcPr>
          <w:p w14:paraId="6C5AD6B5"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Mn</w:t>
            </w:r>
          </w:p>
        </w:tc>
        <w:tc>
          <w:tcPr>
            <w:tcW w:w="1192" w:type="pct"/>
            <w:shd w:val="clear" w:color="auto" w:fill="auto"/>
            <w:noWrap/>
            <w:vAlign w:val="center"/>
            <w:hideMark/>
          </w:tcPr>
          <w:p w14:paraId="73EBBD5C"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105,1</w:t>
            </w:r>
          </w:p>
        </w:tc>
        <w:tc>
          <w:tcPr>
            <w:tcW w:w="1425" w:type="pct"/>
            <w:shd w:val="clear" w:color="auto" w:fill="auto"/>
            <w:noWrap/>
            <w:vAlign w:val="bottom"/>
            <w:hideMark/>
          </w:tcPr>
          <w:p w14:paraId="35CC69EF"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113,2</w:t>
            </w:r>
          </w:p>
        </w:tc>
        <w:tc>
          <w:tcPr>
            <w:tcW w:w="1610" w:type="pct"/>
            <w:shd w:val="clear" w:color="auto" w:fill="auto"/>
            <w:noWrap/>
            <w:vAlign w:val="bottom"/>
            <w:hideMark/>
          </w:tcPr>
          <w:p w14:paraId="7E08C4DF"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8%</w:t>
            </w:r>
          </w:p>
        </w:tc>
      </w:tr>
      <w:tr w:rsidR="00BA26BE" w:rsidRPr="00BA26BE" w14:paraId="5053E84A" w14:textId="77777777" w:rsidTr="00CA288B">
        <w:trPr>
          <w:trHeight w:val="300"/>
          <w:jc w:val="center"/>
        </w:trPr>
        <w:tc>
          <w:tcPr>
            <w:tcW w:w="773" w:type="pct"/>
            <w:shd w:val="clear" w:color="auto" w:fill="auto"/>
            <w:noWrap/>
            <w:vAlign w:val="center"/>
            <w:hideMark/>
          </w:tcPr>
          <w:p w14:paraId="064A8B40"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Ni</w:t>
            </w:r>
          </w:p>
        </w:tc>
        <w:tc>
          <w:tcPr>
            <w:tcW w:w="1192" w:type="pct"/>
            <w:shd w:val="clear" w:color="auto" w:fill="auto"/>
            <w:noWrap/>
            <w:vAlign w:val="center"/>
            <w:hideMark/>
          </w:tcPr>
          <w:p w14:paraId="74CCBC76"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3,8</w:t>
            </w:r>
          </w:p>
        </w:tc>
        <w:tc>
          <w:tcPr>
            <w:tcW w:w="1425" w:type="pct"/>
            <w:shd w:val="clear" w:color="auto" w:fill="auto"/>
            <w:noWrap/>
            <w:vAlign w:val="center"/>
            <w:hideMark/>
          </w:tcPr>
          <w:p w14:paraId="6D66ED21"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4,9</w:t>
            </w:r>
          </w:p>
        </w:tc>
        <w:tc>
          <w:tcPr>
            <w:tcW w:w="1610" w:type="pct"/>
            <w:shd w:val="clear" w:color="auto" w:fill="auto"/>
            <w:noWrap/>
            <w:vAlign w:val="bottom"/>
            <w:hideMark/>
          </w:tcPr>
          <w:p w14:paraId="20A40B58"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29%</w:t>
            </w:r>
          </w:p>
        </w:tc>
      </w:tr>
      <w:tr w:rsidR="00BA26BE" w:rsidRPr="00BA26BE" w14:paraId="3FF4B352" w14:textId="77777777" w:rsidTr="00CA288B">
        <w:trPr>
          <w:trHeight w:val="300"/>
          <w:jc w:val="center"/>
        </w:trPr>
        <w:tc>
          <w:tcPr>
            <w:tcW w:w="773" w:type="pct"/>
            <w:shd w:val="clear" w:color="auto" w:fill="auto"/>
            <w:noWrap/>
            <w:vAlign w:val="center"/>
            <w:hideMark/>
          </w:tcPr>
          <w:p w14:paraId="3E033700"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Pb</w:t>
            </w:r>
          </w:p>
        </w:tc>
        <w:tc>
          <w:tcPr>
            <w:tcW w:w="1192" w:type="pct"/>
            <w:shd w:val="clear" w:color="auto" w:fill="auto"/>
            <w:noWrap/>
            <w:vAlign w:val="center"/>
            <w:hideMark/>
          </w:tcPr>
          <w:p w14:paraId="1C61C5DB"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3,8</w:t>
            </w:r>
          </w:p>
        </w:tc>
        <w:tc>
          <w:tcPr>
            <w:tcW w:w="1425" w:type="pct"/>
            <w:shd w:val="clear" w:color="auto" w:fill="auto"/>
            <w:noWrap/>
            <w:vAlign w:val="center"/>
            <w:hideMark/>
          </w:tcPr>
          <w:p w14:paraId="6DF027A4"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7,6</w:t>
            </w:r>
          </w:p>
        </w:tc>
        <w:tc>
          <w:tcPr>
            <w:tcW w:w="1610" w:type="pct"/>
            <w:shd w:val="clear" w:color="auto" w:fill="auto"/>
            <w:noWrap/>
            <w:vAlign w:val="bottom"/>
            <w:hideMark/>
          </w:tcPr>
          <w:p w14:paraId="312DAA8D"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100%</w:t>
            </w:r>
          </w:p>
        </w:tc>
      </w:tr>
      <w:tr w:rsidR="00BA26BE" w:rsidRPr="00BA26BE" w14:paraId="1AB8C2FC" w14:textId="77777777" w:rsidTr="00CA288B">
        <w:trPr>
          <w:trHeight w:val="300"/>
          <w:jc w:val="center"/>
        </w:trPr>
        <w:tc>
          <w:tcPr>
            <w:tcW w:w="773" w:type="pct"/>
            <w:shd w:val="clear" w:color="auto" w:fill="auto"/>
            <w:noWrap/>
            <w:vAlign w:val="center"/>
            <w:hideMark/>
          </w:tcPr>
          <w:p w14:paraId="2990314C"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Zn</w:t>
            </w:r>
          </w:p>
        </w:tc>
        <w:tc>
          <w:tcPr>
            <w:tcW w:w="1192" w:type="pct"/>
            <w:shd w:val="clear" w:color="auto" w:fill="auto"/>
            <w:noWrap/>
            <w:vAlign w:val="center"/>
            <w:hideMark/>
          </w:tcPr>
          <w:p w14:paraId="1BC008A7"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16,4</w:t>
            </w:r>
          </w:p>
        </w:tc>
        <w:tc>
          <w:tcPr>
            <w:tcW w:w="1425" w:type="pct"/>
            <w:shd w:val="clear" w:color="auto" w:fill="auto"/>
            <w:noWrap/>
            <w:vAlign w:val="center"/>
            <w:hideMark/>
          </w:tcPr>
          <w:p w14:paraId="3118B28E"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11,6</w:t>
            </w:r>
          </w:p>
        </w:tc>
        <w:tc>
          <w:tcPr>
            <w:tcW w:w="1610" w:type="pct"/>
            <w:shd w:val="clear" w:color="auto" w:fill="auto"/>
            <w:noWrap/>
            <w:vAlign w:val="bottom"/>
            <w:hideMark/>
          </w:tcPr>
          <w:p w14:paraId="1B86BACB" w14:textId="77777777" w:rsidR="00BA26BE" w:rsidRPr="00BA26BE" w:rsidRDefault="00BA26BE" w:rsidP="00CA288B">
            <w:pPr>
              <w:spacing w:before="0" w:after="0"/>
              <w:jc w:val="center"/>
              <w:rPr>
                <w:rFonts w:ascii="Calibri" w:eastAsia="Times New Roman" w:hAnsi="Calibri" w:cs="Times New Roman"/>
                <w:color w:val="000000"/>
                <w:sz w:val="22"/>
                <w:lang w:eastAsia="pt-BR"/>
              </w:rPr>
            </w:pPr>
            <w:r w:rsidRPr="00BA26BE">
              <w:rPr>
                <w:rFonts w:ascii="Calibri" w:eastAsia="Times New Roman" w:hAnsi="Calibri" w:cs="Times New Roman"/>
                <w:color w:val="000000"/>
                <w:sz w:val="22"/>
                <w:lang w:eastAsia="pt-BR"/>
              </w:rPr>
              <w:t>-29%</w:t>
            </w:r>
          </w:p>
        </w:tc>
      </w:tr>
    </w:tbl>
    <w:p w14:paraId="77B63C8E" w14:textId="77777777" w:rsidR="00E81852" w:rsidRDefault="00E81852" w:rsidP="00EC0C73"/>
    <w:p w14:paraId="17DB3848" w14:textId="7D74FF14" w:rsidR="00EC0C73" w:rsidRPr="004F2736" w:rsidRDefault="00EC0C73" w:rsidP="004F2736">
      <w:pPr>
        <w:pStyle w:val="Ttulo2"/>
      </w:pPr>
      <w:bookmarkStart w:id="129" w:name="_Toc46992127"/>
      <w:r w:rsidRPr="004F2736">
        <w:lastRenderedPageBreak/>
        <w:t>ORGÂNICOS EM SEDIMENTO</w:t>
      </w:r>
      <w:bookmarkEnd w:id="129"/>
    </w:p>
    <w:p w14:paraId="500AD628" w14:textId="33599A96" w:rsidR="00EC0C73" w:rsidRDefault="00EC0C73" w:rsidP="00EC0C73">
      <w:pPr>
        <w:ind w:firstLine="708"/>
        <w:rPr>
          <w:rFonts w:cs="Arial"/>
          <w:szCs w:val="20"/>
        </w:rPr>
      </w:pPr>
      <w:r w:rsidRPr="005C730E">
        <w:rPr>
          <w:rFonts w:cs="Arial"/>
          <w:szCs w:val="20"/>
        </w:rPr>
        <w:t>Os mesmos compostos orgânicos analisados e</w:t>
      </w:r>
      <w:r w:rsidR="006F179D">
        <w:rPr>
          <w:rFonts w:cs="Arial"/>
          <w:szCs w:val="20"/>
        </w:rPr>
        <w:t xml:space="preserve">m água também foram analisados em sedimentos, entretanto, </w:t>
      </w:r>
      <w:r w:rsidRPr="005C730E">
        <w:rPr>
          <w:rFonts w:cs="Arial"/>
          <w:szCs w:val="20"/>
        </w:rPr>
        <w:t xml:space="preserve">foi usada uma metodologia diferente para a obtenção do extrato que foi submetido </w:t>
      </w:r>
      <w:r>
        <w:rPr>
          <w:rFonts w:cs="Arial"/>
          <w:szCs w:val="20"/>
        </w:rPr>
        <w:t>aos mesmos protocolos de quantificação cromatográfica.</w:t>
      </w:r>
    </w:p>
    <w:p w14:paraId="3FD9C84E" w14:textId="2D306410" w:rsidR="00EC0C73" w:rsidRPr="005C730E" w:rsidRDefault="00EC0C73" w:rsidP="00F03865">
      <w:pPr>
        <w:ind w:firstLine="708"/>
        <w:rPr>
          <w:rFonts w:cs="Arial"/>
          <w:szCs w:val="20"/>
        </w:rPr>
      </w:pPr>
      <w:r w:rsidRPr="00016451">
        <w:rPr>
          <w:rFonts w:cs="Arial"/>
          <w:szCs w:val="20"/>
        </w:rPr>
        <w:t xml:space="preserve">Para avaliação temporal do Ano 1 e do período de transição, agruparam-se as amostras em três períodos, dos quais out/18 a mar/19 (6 meses) </w:t>
      </w:r>
      <w:r>
        <w:rPr>
          <w:rFonts w:cs="Arial"/>
          <w:szCs w:val="20"/>
        </w:rPr>
        <w:t xml:space="preserve">é a </w:t>
      </w:r>
      <w:r w:rsidRPr="00016451">
        <w:rPr>
          <w:rFonts w:cs="Arial"/>
          <w:szCs w:val="20"/>
        </w:rPr>
        <w:t xml:space="preserve">estação chuvosa e </w:t>
      </w:r>
      <w:proofErr w:type="spellStart"/>
      <w:r w:rsidRPr="00016451">
        <w:rPr>
          <w:rFonts w:cs="Arial"/>
          <w:szCs w:val="20"/>
        </w:rPr>
        <w:t>abr</w:t>
      </w:r>
      <w:proofErr w:type="spellEnd"/>
      <w:r w:rsidRPr="00016451">
        <w:rPr>
          <w:rFonts w:cs="Arial"/>
          <w:szCs w:val="20"/>
        </w:rPr>
        <w:t xml:space="preserve">/19 a set/19 (6 meses) </w:t>
      </w:r>
      <w:r>
        <w:rPr>
          <w:rFonts w:cs="Arial"/>
          <w:szCs w:val="20"/>
        </w:rPr>
        <w:t xml:space="preserve">é a </w:t>
      </w:r>
      <w:r w:rsidRPr="00016451">
        <w:rPr>
          <w:rFonts w:cs="Arial"/>
          <w:szCs w:val="20"/>
        </w:rPr>
        <w:t>estação de estiagem</w:t>
      </w:r>
      <w:r>
        <w:rPr>
          <w:rFonts w:cs="Arial"/>
          <w:szCs w:val="20"/>
        </w:rPr>
        <w:t>, ambas</w:t>
      </w:r>
      <w:r w:rsidRPr="00016451">
        <w:rPr>
          <w:rFonts w:cs="Arial"/>
          <w:szCs w:val="20"/>
        </w:rPr>
        <w:t xml:space="preserve"> </w:t>
      </w:r>
      <w:proofErr w:type="gramStart"/>
      <w:r w:rsidRPr="00016451">
        <w:rPr>
          <w:rFonts w:cs="Arial"/>
          <w:szCs w:val="20"/>
        </w:rPr>
        <w:t>ref</w:t>
      </w:r>
      <w:r>
        <w:rPr>
          <w:rFonts w:cs="Arial"/>
          <w:szCs w:val="20"/>
        </w:rPr>
        <w:t>erem-se</w:t>
      </w:r>
      <w:proofErr w:type="gramEnd"/>
      <w:r>
        <w:rPr>
          <w:rFonts w:cs="Arial"/>
          <w:szCs w:val="20"/>
        </w:rPr>
        <w:t xml:space="preserve"> ao Ano 1. Já os resultados de </w:t>
      </w:r>
      <w:proofErr w:type="spellStart"/>
      <w:r>
        <w:rPr>
          <w:rFonts w:cs="Arial"/>
          <w:szCs w:val="20"/>
        </w:rPr>
        <w:t>nov</w:t>
      </w:r>
      <w:proofErr w:type="spellEnd"/>
      <w:r>
        <w:rPr>
          <w:rFonts w:cs="Arial"/>
          <w:szCs w:val="20"/>
        </w:rPr>
        <w:t>/19 a dez/19</w:t>
      </w:r>
      <w:r w:rsidRPr="00016451">
        <w:rPr>
          <w:rFonts w:cs="Arial"/>
          <w:szCs w:val="20"/>
        </w:rPr>
        <w:t xml:space="preserve"> (</w:t>
      </w:r>
      <w:r>
        <w:rPr>
          <w:rFonts w:cs="Arial"/>
          <w:szCs w:val="20"/>
        </w:rPr>
        <w:t>2</w:t>
      </w:r>
      <w:r w:rsidRPr="00016451">
        <w:rPr>
          <w:rFonts w:cs="Arial"/>
          <w:szCs w:val="20"/>
        </w:rPr>
        <w:t xml:space="preserve"> meses) corresponde</w:t>
      </w:r>
      <w:r>
        <w:rPr>
          <w:rFonts w:cs="Arial"/>
          <w:szCs w:val="20"/>
        </w:rPr>
        <w:t>m</w:t>
      </w:r>
      <w:r w:rsidRPr="00016451">
        <w:rPr>
          <w:rFonts w:cs="Arial"/>
          <w:szCs w:val="20"/>
        </w:rPr>
        <w:t xml:space="preserve"> aos dados parciais da estação chuvosa do ano de transição, com uma intensidade de precipitação pluviométrica maior do que a primeira. E para a avaliação espacial, agruparam-se as estações em quatro ambientes: Rio Guandu (estação 17), Rio Doce (estações 0, 21,</w:t>
      </w:r>
      <w:r>
        <w:rPr>
          <w:rFonts w:cs="Arial"/>
          <w:szCs w:val="20"/>
        </w:rPr>
        <w:t xml:space="preserve"> </w:t>
      </w:r>
      <w:r w:rsidRPr="00016451">
        <w:rPr>
          <w:rFonts w:cs="Arial"/>
          <w:szCs w:val="20"/>
        </w:rPr>
        <w:t>22,</w:t>
      </w:r>
      <w:r>
        <w:rPr>
          <w:rFonts w:cs="Arial"/>
          <w:szCs w:val="20"/>
        </w:rPr>
        <w:t xml:space="preserve"> </w:t>
      </w:r>
      <w:r w:rsidRPr="00016451">
        <w:rPr>
          <w:rFonts w:cs="Arial"/>
          <w:szCs w:val="20"/>
        </w:rPr>
        <w:t>26), Lagos (estações 18, 19 e 20) e Lagoas (estações 23, 24,</w:t>
      </w:r>
      <w:r>
        <w:rPr>
          <w:rFonts w:cs="Arial"/>
          <w:szCs w:val="20"/>
        </w:rPr>
        <w:t xml:space="preserve"> </w:t>
      </w:r>
      <w:r w:rsidRPr="00016451">
        <w:rPr>
          <w:rFonts w:cs="Arial"/>
          <w:szCs w:val="20"/>
        </w:rPr>
        <w:t>25,</w:t>
      </w:r>
      <w:r>
        <w:rPr>
          <w:rFonts w:cs="Arial"/>
          <w:szCs w:val="20"/>
        </w:rPr>
        <w:t xml:space="preserve"> </w:t>
      </w:r>
      <w:r w:rsidRPr="00016451">
        <w:rPr>
          <w:rFonts w:cs="Arial"/>
          <w:szCs w:val="20"/>
        </w:rPr>
        <w:t>25a).</w:t>
      </w:r>
      <w:r w:rsidRPr="005C730E">
        <w:rPr>
          <w:rFonts w:cs="Arial"/>
          <w:szCs w:val="20"/>
        </w:rPr>
        <w:t xml:space="preserve"> </w:t>
      </w:r>
    </w:p>
    <w:p w14:paraId="20E62930" w14:textId="175316C8" w:rsidR="00EC0C73" w:rsidRPr="004F2736" w:rsidRDefault="00EC0C73" w:rsidP="004F2736">
      <w:pPr>
        <w:pStyle w:val="Ttulo3"/>
      </w:pPr>
      <w:bookmarkStart w:id="130" w:name="_Toc46992128"/>
      <w:r w:rsidRPr="004F2736">
        <w:rPr>
          <w:rStyle w:val="Ttulo2Char"/>
          <w:caps w:val="0"/>
          <w:szCs w:val="24"/>
        </w:rPr>
        <w:t>Éter-aminas e aminas</w:t>
      </w:r>
      <w:bookmarkEnd w:id="130"/>
    </w:p>
    <w:p w14:paraId="38C6C98A" w14:textId="77777777" w:rsidR="00EC0C73" w:rsidRPr="00065506" w:rsidRDefault="00EC0C73" w:rsidP="00EC0C73">
      <w:pPr>
        <w:ind w:firstLine="708"/>
        <w:rPr>
          <w:rFonts w:cs="Arial"/>
          <w:szCs w:val="20"/>
        </w:rPr>
      </w:pPr>
      <w:r>
        <w:rPr>
          <w:rFonts w:cs="Arial"/>
          <w:szCs w:val="20"/>
        </w:rPr>
        <w:t>Análogo ao que se está sendo feito para as amostras de água, es</w:t>
      </w:r>
      <w:r w:rsidRPr="00065506">
        <w:rPr>
          <w:rFonts w:cs="Arial"/>
          <w:szCs w:val="20"/>
        </w:rPr>
        <w:t xml:space="preserve">tudos estão sendo realizados </w:t>
      </w:r>
      <w:r>
        <w:rPr>
          <w:rFonts w:cs="Arial"/>
          <w:szCs w:val="20"/>
        </w:rPr>
        <w:t xml:space="preserve">em sedimentos, </w:t>
      </w:r>
      <w:r w:rsidRPr="00065506">
        <w:rPr>
          <w:rFonts w:cs="Arial"/>
          <w:szCs w:val="20"/>
        </w:rPr>
        <w:t>na tentativa de sugerir outras aminas de interesse que pudessem estar associadas ao desastre de Mariana, assim como os seus produtos de degradação, visto que as aminas propostas para o ANO 1 não foram encontradas em nenhumas das amostras analisadas</w:t>
      </w:r>
      <w:r>
        <w:rPr>
          <w:rFonts w:cs="Arial"/>
          <w:szCs w:val="20"/>
        </w:rPr>
        <w:t>, podendo ter sido degradadas, levando a formação de outros produtos nitrogenados</w:t>
      </w:r>
      <w:r w:rsidRPr="00065506">
        <w:rPr>
          <w:rFonts w:cs="Arial"/>
          <w:szCs w:val="20"/>
        </w:rPr>
        <w:t>.</w:t>
      </w:r>
    </w:p>
    <w:p w14:paraId="3D2E8854" w14:textId="5D87E079" w:rsidR="00EC0C73" w:rsidRPr="00EF6B33" w:rsidRDefault="00EC0C73" w:rsidP="004F2736">
      <w:pPr>
        <w:pStyle w:val="Ttulo3"/>
      </w:pPr>
      <w:bookmarkStart w:id="131" w:name="_Toc46992129"/>
      <w:proofErr w:type="spellStart"/>
      <w:r w:rsidRPr="00EF6B33">
        <w:t>Bifenilos</w:t>
      </w:r>
      <w:proofErr w:type="spellEnd"/>
      <w:r w:rsidRPr="00EF6B33">
        <w:t xml:space="preserve"> policlorados – PCBs</w:t>
      </w:r>
      <w:bookmarkEnd w:id="131"/>
    </w:p>
    <w:p w14:paraId="3D30C626" w14:textId="77777777" w:rsidR="00EC0C73" w:rsidRPr="00065506" w:rsidRDefault="00EC0C73" w:rsidP="00EC0C73">
      <w:pPr>
        <w:rPr>
          <w:rFonts w:cs="Arial"/>
          <w:szCs w:val="20"/>
        </w:rPr>
      </w:pPr>
      <w:r w:rsidRPr="00065506">
        <w:rPr>
          <w:rFonts w:cs="Arial"/>
          <w:szCs w:val="20"/>
        </w:rPr>
        <w:tab/>
        <w:t xml:space="preserve">Os resultados para os PCBs em sedimentos não serão reportados no relatório semestral, devido </w:t>
      </w:r>
      <w:r>
        <w:rPr>
          <w:rFonts w:cs="Arial"/>
          <w:szCs w:val="20"/>
        </w:rPr>
        <w:t>à</w:t>
      </w:r>
      <w:r w:rsidRPr="00065506">
        <w:rPr>
          <w:rFonts w:cs="Arial"/>
          <w:szCs w:val="20"/>
        </w:rPr>
        <w:t xml:space="preserve"> inviabilização </w:t>
      </w:r>
      <w:r>
        <w:rPr>
          <w:rFonts w:cs="Arial"/>
          <w:szCs w:val="20"/>
        </w:rPr>
        <w:t>da execução dos estudos em decorrência da</w:t>
      </w:r>
      <w:r w:rsidRPr="00065506">
        <w:rPr>
          <w:rFonts w:cs="Arial"/>
          <w:szCs w:val="20"/>
        </w:rPr>
        <w:t xml:space="preserve"> pandemia d</w:t>
      </w:r>
      <w:r>
        <w:rPr>
          <w:rFonts w:cs="Arial"/>
          <w:szCs w:val="20"/>
        </w:rPr>
        <w:t>a</w:t>
      </w:r>
      <w:r w:rsidRPr="00065506">
        <w:rPr>
          <w:rFonts w:cs="Arial"/>
          <w:szCs w:val="20"/>
        </w:rPr>
        <w:t xml:space="preserve"> COVID-19. Para este parâmetro conseguiu-se apenas executar a extração</w:t>
      </w:r>
      <w:r>
        <w:rPr>
          <w:rFonts w:cs="Arial"/>
          <w:szCs w:val="20"/>
        </w:rPr>
        <w:t xml:space="preserve"> </w:t>
      </w:r>
      <w:r w:rsidRPr="00065506">
        <w:rPr>
          <w:rFonts w:cs="Arial"/>
          <w:szCs w:val="20"/>
        </w:rPr>
        <w:t>da</w:t>
      </w:r>
      <w:r>
        <w:rPr>
          <w:rFonts w:cs="Arial"/>
          <w:szCs w:val="20"/>
        </w:rPr>
        <w:t>s amostras de sedimentos coletadas nas</w:t>
      </w:r>
      <w:r w:rsidRPr="00065506">
        <w:rPr>
          <w:rFonts w:cs="Arial"/>
          <w:szCs w:val="20"/>
        </w:rPr>
        <w:t xml:space="preserve"> 13</w:t>
      </w:r>
      <w:r w:rsidRPr="00EF6B33">
        <w:rPr>
          <w:rFonts w:cs="Arial"/>
          <w:szCs w:val="20"/>
          <w:vertAlign w:val="superscript"/>
        </w:rPr>
        <w:t>a</w:t>
      </w:r>
      <w:r w:rsidRPr="00065506">
        <w:rPr>
          <w:rFonts w:cs="Arial"/>
          <w:szCs w:val="20"/>
        </w:rPr>
        <w:t xml:space="preserve"> e 14</w:t>
      </w:r>
      <w:r w:rsidRPr="00EF6B33">
        <w:rPr>
          <w:rFonts w:cs="Arial"/>
          <w:szCs w:val="20"/>
          <w:vertAlign w:val="superscript"/>
        </w:rPr>
        <w:t>a</w:t>
      </w:r>
      <w:r w:rsidRPr="00065506">
        <w:rPr>
          <w:rFonts w:cs="Arial"/>
          <w:szCs w:val="20"/>
        </w:rPr>
        <w:t xml:space="preserve"> campanha</w:t>
      </w:r>
      <w:r>
        <w:rPr>
          <w:rFonts w:cs="Arial"/>
          <w:szCs w:val="20"/>
        </w:rPr>
        <w:t>s</w:t>
      </w:r>
      <w:r w:rsidRPr="00065506">
        <w:rPr>
          <w:rFonts w:cs="Arial"/>
          <w:szCs w:val="20"/>
        </w:rPr>
        <w:t xml:space="preserve">, não sendo possível </w:t>
      </w:r>
      <w:r>
        <w:rPr>
          <w:rFonts w:cs="Arial"/>
          <w:szCs w:val="20"/>
        </w:rPr>
        <w:t>realizar a parte de quantificação cromatográfica nos extratos devido a interrupção das atividades laboratoriais.</w:t>
      </w:r>
      <w:r w:rsidRPr="00065506">
        <w:rPr>
          <w:rFonts w:cs="Arial"/>
          <w:szCs w:val="20"/>
        </w:rPr>
        <w:t xml:space="preserve"> </w:t>
      </w:r>
    </w:p>
    <w:p w14:paraId="132E6C29" w14:textId="40BB6ADB" w:rsidR="00EC0C73" w:rsidRPr="00EF6B33" w:rsidRDefault="00EC0C73" w:rsidP="004F2736">
      <w:pPr>
        <w:pStyle w:val="Ttulo3"/>
      </w:pPr>
      <w:bookmarkStart w:id="132" w:name="_Toc46992130"/>
      <w:r w:rsidRPr="00EF6B33">
        <w:t>Pesticidas</w:t>
      </w:r>
      <w:bookmarkEnd w:id="132"/>
    </w:p>
    <w:p w14:paraId="76F817E4" w14:textId="0A326013" w:rsidR="00EC0C73" w:rsidRPr="00065506" w:rsidRDefault="00EC0C73" w:rsidP="00EC0C73">
      <w:pPr>
        <w:ind w:firstLine="708"/>
        <w:rPr>
          <w:rFonts w:cs="Arial"/>
          <w:szCs w:val="20"/>
        </w:rPr>
      </w:pPr>
      <w:r w:rsidRPr="00065506">
        <w:rPr>
          <w:rFonts w:cs="Arial"/>
          <w:szCs w:val="20"/>
        </w:rPr>
        <w:t xml:space="preserve">Os resultados para os </w:t>
      </w:r>
      <w:r w:rsidR="004F2736">
        <w:rPr>
          <w:rFonts w:cs="Arial"/>
          <w:szCs w:val="20"/>
        </w:rPr>
        <w:t>pesticidas</w:t>
      </w:r>
      <w:r w:rsidRPr="00065506">
        <w:rPr>
          <w:rFonts w:cs="Arial"/>
          <w:szCs w:val="20"/>
        </w:rPr>
        <w:t xml:space="preserve"> em sedimentos </w:t>
      </w:r>
      <w:r>
        <w:rPr>
          <w:rFonts w:cs="Arial"/>
          <w:szCs w:val="20"/>
        </w:rPr>
        <w:t xml:space="preserve">também </w:t>
      </w:r>
      <w:r w:rsidRPr="00065506">
        <w:rPr>
          <w:rFonts w:cs="Arial"/>
          <w:szCs w:val="20"/>
        </w:rPr>
        <w:t xml:space="preserve">não serão reportados no relatório semestral, devido a inviabilização </w:t>
      </w:r>
      <w:r>
        <w:rPr>
          <w:rFonts w:cs="Arial"/>
          <w:szCs w:val="20"/>
        </w:rPr>
        <w:t>da execução dos estudos em decorrência da</w:t>
      </w:r>
      <w:r w:rsidRPr="00065506">
        <w:rPr>
          <w:rFonts w:cs="Arial"/>
          <w:szCs w:val="20"/>
        </w:rPr>
        <w:t xml:space="preserve"> pandemia d</w:t>
      </w:r>
      <w:r>
        <w:rPr>
          <w:rFonts w:cs="Arial"/>
          <w:szCs w:val="20"/>
        </w:rPr>
        <w:t>a</w:t>
      </w:r>
      <w:r w:rsidRPr="00065506">
        <w:rPr>
          <w:rFonts w:cs="Arial"/>
          <w:szCs w:val="20"/>
        </w:rPr>
        <w:t xml:space="preserve"> COVID-19. Para este parâmetro conseguiu-se apenas executar a</w:t>
      </w:r>
      <w:r>
        <w:rPr>
          <w:rFonts w:cs="Arial"/>
          <w:szCs w:val="20"/>
        </w:rPr>
        <w:t>s</w:t>
      </w:r>
      <w:r w:rsidRPr="00065506">
        <w:rPr>
          <w:rFonts w:cs="Arial"/>
          <w:szCs w:val="20"/>
        </w:rPr>
        <w:t xml:space="preserve"> extraç</w:t>
      </w:r>
      <w:r>
        <w:rPr>
          <w:rFonts w:cs="Arial"/>
          <w:szCs w:val="20"/>
        </w:rPr>
        <w:t xml:space="preserve">ões </w:t>
      </w:r>
      <w:r w:rsidRPr="00065506">
        <w:rPr>
          <w:rFonts w:cs="Arial"/>
          <w:szCs w:val="20"/>
        </w:rPr>
        <w:t>da</w:t>
      </w:r>
      <w:r>
        <w:rPr>
          <w:rFonts w:cs="Arial"/>
          <w:szCs w:val="20"/>
        </w:rPr>
        <w:t>s amostras de sedimentos, coletadas nas</w:t>
      </w:r>
      <w:r w:rsidRPr="00065506">
        <w:rPr>
          <w:rFonts w:cs="Arial"/>
          <w:szCs w:val="20"/>
        </w:rPr>
        <w:t xml:space="preserve"> 13</w:t>
      </w:r>
      <w:r w:rsidRPr="00EF6B33">
        <w:rPr>
          <w:rFonts w:cs="Arial"/>
          <w:szCs w:val="20"/>
          <w:vertAlign w:val="superscript"/>
        </w:rPr>
        <w:t>a</w:t>
      </w:r>
      <w:r w:rsidRPr="00065506">
        <w:rPr>
          <w:rFonts w:cs="Arial"/>
          <w:szCs w:val="20"/>
        </w:rPr>
        <w:t xml:space="preserve"> e 14</w:t>
      </w:r>
      <w:r w:rsidRPr="00EF6B33">
        <w:rPr>
          <w:rFonts w:cs="Arial"/>
          <w:szCs w:val="20"/>
          <w:vertAlign w:val="superscript"/>
        </w:rPr>
        <w:t>a</w:t>
      </w:r>
      <w:r w:rsidRPr="00065506">
        <w:rPr>
          <w:rFonts w:cs="Arial"/>
          <w:szCs w:val="20"/>
        </w:rPr>
        <w:t xml:space="preserve"> campanha</w:t>
      </w:r>
      <w:r>
        <w:rPr>
          <w:rFonts w:cs="Arial"/>
          <w:szCs w:val="20"/>
        </w:rPr>
        <w:t>s</w:t>
      </w:r>
      <w:r w:rsidRPr="00065506">
        <w:rPr>
          <w:rFonts w:cs="Arial"/>
          <w:szCs w:val="20"/>
        </w:rPr>
        <w:t xml:space="preserve">, não sendo possível </w:t>
      </w:r>
      <w:r>
        <w:rPr>
          <w:rFonts w:cs="Arial"/>
          <w:szCs w:val="20"/>
        </w:rPr>
        <w:t>realizar a parte de quantificação cromatográfica nos extratos.</w:t>
      </w:r>
      <w:r w:rsidRPr="00065506">
        <w:rPr>
          <w:rFonts w:cs="Arial"/>
          <w:szCs w:val="20"/>
        </w:rPr>
        <w:t xml:space="preserve"> </w:t>
      </w:r>
    </w:p>
    <w:p w14:paraId="26B96C1B" w14:textId="47B91CD7" w:rsidR="00EC0C73" w:rsidRPr="00E34620" w:rsidRDefault="00EC0C73" w:rsidP="004F2736">
      <w:pPr>
        <w:pStyle w:val="Ttulo3"/>
      </w:pPr>
      <w:bookmarkStart w:id="133" w:name="_Toc46992131"/>
      <w:r w:rsidRPr="00E34620">
        <w:t>Hidrocarbonetos policíclicos aromáticos – HPAs</w:t>
      </w:r>
      <w:bookmarkEnd w:id="133"/>
      <w:r w:rsidRPr="00E34620">
        <w:tab/>
      </w:r>
    </w:p>
    <w:p w14:paraId="32751F67" w14:textId="77777777" w:rsidR="00EC0C73" w:rsidRDefault="00EC0C73" w:rsidP="00EC0C73">
      <w:pPr>
        <w:rPr>
          <w:rFonts w:cs="Arial"/>
          <w:szCs w:val="20"/>
        </w:rPr>
      </w:pPr>
      <w:r w:rsidRPr="00D41DB6">
        <w:rPr>
          <w:rFonts w:ascii="Times New Roman" w:hAnsi="Times New Roman" w:cs="Times New Roman"/>
          <w:szCs w:val="20"/>
        </w:rPr>
        <w:tab/>
      </w:r>
      <w:r w:rsidRPr="00641C68">
        <w:rPr>
          <w:rFonts w:cs="Arial"/>
          <w:szCs w:val="20"/>
        </w:rPr>
        <w:t>Analis</w:t>
      </w:r>
      <w:r>
        <w:rPr>
          <w:rFonts w:cs="Arial"/>
          <w:szCs w:val="20"/>
        </w:rPr>
        <w:t>aram</w:t>
      </w:r>
      <w:r w:rsidRPr="00641C68">
        <w:rPr>
          <w:rFonts w:cs="Arial"/>
          <w:szCs w:val="20"/>
        </w:rPr>
        <w:t xml:space="preserve">-se as amostras de </w:t>
      </w:r>
      <w:r>
        <w:rPr>
          <w:rFonts w:cs="Arial"/>
          <w:szCs w:val="20"/>
        </w:rPr>
        <w:t>sedimentos até a 14</w:t>
      </w:r>
      <w:r w:rsidRPr="00E34620">
        <w:rPr>
          <w:rFonts w:cs="Arial"/>
          <w:szCs w:val="20"/>
          <w:vertAlign w:val="superscript"/>
        </w:rPr>
        <w:t>a</w:t>
      </w:r>
      <w:r w:rsidRPr="00641C68">
        <w:rPr>
          <w:rFonts w:cs="Arial"/>
          <w:szCs w:val="20"/>
        </w:rPr>
        <w:t xml:space="preserve"> campanha, totalizando</w:t>
      </w:r>
      <w:r>
        <w:rPr>
          <w:rFonts w:cs="Arial"/>
          <w:szCs w:val="20"/>
        </w:rPr>
        <w:t>-se</w:t>
      </w:r>
      <w:r w:rsidRPr="00641C68">
        <w:rPr>
          <w:rFonts w:cs="Arial"/>
          <w:szCs w:val="20"/>
        </w:rPr>
        <w:t xml:space="preserve"> </w:t>
      </w:r>
      <w:r>
        <w:rPr>
          <w:rFonts w:cs="Arial"/>
          <w:szCs w:val="20"/>
        </w:rPr>
        <w:t>163</w:t>
      </w:r>
      <w:r w:rsidRPr="00641C68">
        <w:rPr>
          <w:rFonts w:cs="Arial"/>
          <w:szCs w:val="20"/>
        </w:rPr>
        <w:t xml:space="preserve"> amostras, das quais </w:t>
      </w:r>
      <w:r>
        <w:rPr>
          <w:rFonts w:cs="Arial"/>
          <w:szCs w:val="20"/>
        </w:rPr>
        <w:t>22</w:t>
      </w:r>
      <w:r w:rsidRPr="00641C68">
        <w:rPr>
          <w:rFonts w:cs="Arial"/>
          <w:szCs w:val="20"/>
        </w:rPr>
        <w:t xml:space="preserve"> são do ano de transição</w:t>
      </w:r>
      <w:r>
        <w:rPr>
          <w:rFonts w:cs="Arial"/>
          <w:szCs w:val="20"/>
        </w:rPr>
        <w:t>. Para tal</w:t>
      </w:r>
      <w:r w:rsidRPr="00641C68">
        <w:rPr>
          <w:rFonts w:cs="Arial"/>
          <w:szCs w:val="20"/>
        </w:rPr>
        <w:t xml:space="preserve"> </w:t>
      </w:r>
      <w:r>
        <w:rPr>
          <w:rFonts w:cs="Arial"/>
          <w:szCs w:val="20"/>
        </w:rPr>
        <w:t>usou-se</w:t>
      </w:r>
      <w:r w:rsidRPr="00641C68">
        <w:rPr>
          <w:rFonts w:cs="Arial"/>
          <w:szCs w:val="20"/>
        </w:rPr>
        <w:t xml:space="preserve"> a metodologia de determinação de HPAs proposta no Ano 1. Os 16 HPAs avaliados no período de transição foram os mesmos do Ano 1</w:t>
      </w:r>
      <w:r>
        <w:rPr>
          <w:rFonts w:cs="Arial"/>
          <w:szCs w:val="20"/>
        </w:rPr>
        <w:t>.</w:t>
      </w:r>
    </w:p>
    <w:p w14:paraId="524272DB" w14:textId="66BBD996" w:rsidR="00EC0C73" w:rsidRDefault="00EC0C73" w:rsidP="00EC0C73">
      <w:pPr>
        <w:rPr>
          <w:iCs/>
          <w:sz w:val="16"/>
          <w:szCs w:val="18"/>
        </w:rPr>
      </w:pPr>
      <w:r w:rsidRPr="00641C68">
        <w:rPr>
          <w:rFonts w:cs="Arial"/>
          <w:szCs w:val="20"/>
        </w:rPr>
        <w:lastRenderedPageBreak/>
        <w:tab/>
        <w:t xml:space="preserve">A </w:t>
      </w:r>
      <w:r w:rsidR="00F03865">
        <w:rPr>
          <w:rFonts w:cs="Arial"/>
          <w:color w:val="FF0000"/>
          <w:szCs w:val="20"/>
        </w:rPr>
        <w:fldChar w:fldCharType="begin"/>
      </w:r>
      <w:r w:rsidR="00F03865">
        <w:rPr>
          <w:rFonts w:cs="Arial"/>
          <w:szCs w:val="20"/>
        </w:rPr>
        <w:instrText xml:space="preserve"> REF _Ref42076226 \h </w:instrText>
      </w:r>
      <w:r w:rsidR="00F03865">
        <w:rPr>
          <w:rFonts w:cs="Arial"/>
          <w:color w:val="FF0000"/>
          <w:szCs w:val="20"/>
        </w:rPr>
      </w:r>
      <w:r w:rsidR="00F03865">
        <w:rPr>
          <w:rFonts w:cs="Arial"/>
          <w:color w:val="FF0000"/>
          <w:szCs w:val="20"/>
        </w:rPr>
        <w:fldChar w:fldCharType="separate"/>
      </w:r>
      <w:r w:rsidR="002C014F">
        <w:t xml:space="preserve">Figura </w:t>
      </w:r>
      <w:r w:rsidR="002C014F">
        <w:rPr>
          <w:noProof/>
        </w:rPr>
        <w:t>35</w:t>
      </w:r>
      <w:r w:rsidR="00F03865">
        <w:rPr>
          <w:rFonts w:cs="Arial"/>
          <w:color w:val="FF0000"/>
          <w:szCs w:val="20"/>
        </w:rPr>
        <w:fldChar w:fldCharType="end"/>
      </w:r>
      <w:r w:rsidR="00F03865">
        <w:rPr>
          <w:rFonts w:cs="Arial"/>
          <w:color w:val="FF0000"/>
          <w:szCs w:val="20"/>
        </w:rPr>
        <w:t xml:space="preserve"> </w:t>
      </w:r>
      <w:r w:rsidRPr="00641C68">
        <w:rPr>
          <w:rFonts w:cs="Arial"/>
          <w:szCs w:val="20"/>
        </w:rPr>
        <w:t>apresenta o gráfico d</w:t>
      </w:r>
      <w:r>
        <w:rPr>
          <w:rFonts w:cs="Arial"/>
          <w:szCs w:val="20"/>
        </w:rPr>
        <w:t>o tipo</w:t>
      </w:r>
      <w:r w:rsidRPr="00641C68">
        <w:rPr>
          <w:rFonts w:cs="Arial"/>
          <w:szCs w:val="20"/>
        </w:rPr>
        <w:t xml:space="preserve"> box-</w:t>
      </w:r>
      <w:proofErr w:type="spellStart"/>
      <w:r w:rsidRPr="00641C68">
        <w:rPr>
          <w:rFonts w:cs="Arial"/>
          <w:szCs w:val="20"/>
        </w:rPr>
        <w:t>plot</w:t>
      </w:r>
      <w:proofErr w:type="spellEnd"/>
      <w:r w:rsidRPr="00641C68">
        <w:rPr>
          <w:rFonts w:cs="Arial"/>
          <w:szCs w:val="20"/>
        </w:rPr>
        <w:t xml:space="preserve"> para os HPAs totais (somatória dos 16 HPAs analisados) em </w:t>
      </w:r>
      <w:r>
        <w:rPr>
          <w:rFonts w:cs="Arial"/>
          <w:szCs w:val="20"/>
        </w:rPr>
        <w:t>sedimentos</w:t>
      </w:r>
      <w:r w:rsidRPr="00641C68">
        <w:rPr>
          <w:rFonts w:cs="Arial"/>
          <w:szCs w:val="20"/>
        </w:rPr>
        <w:t xml:space="preserve"> nos diferentes ambientes ao longo dos três períodos. Percebe-se que em todos ambientes houve uma diminuição significativa das concentrações de HPAs total no período de transição (</w:t>
      </w:r>
      <w:proofErr w:type="spellStart"/>
      <w:r w:rsidRPr="00641C68">
        <w:rPr>
          <w:rFonts w:cs="Arial"/>
          <w:szCs w:val="20"/>
        </w:rPr>
        <w:t>nov</w:t>
      </w:r>
      <w:proofErr w:type="spellEnd"/>
      <w:r w:rsidRPr="00641C68">
        <w:rPr>
          <w:rFonts w:cs="Arial"/>
          <w:szCs w:val="20"/>
        </w:rPr>
        <w:t xml:space="preserve">/2019 a </w:t>
      </w:r>
      <w:r>
        <w:rPr>
          <w:rFonts w:cs="Arial"/>
          <w:szCs w:val="20"/>
        </w:rPr>
        <w:t>dez/19</w:t>
      </w:r>
      <w:r w:rsidRPr="00641C68">
        <w:rPr>
          <w:rFonts w:cs="Arial"/>
          <w:szCs w:val="20"/>
        </w:rPr>
        <w:t>) quando comparado com o Ano 1</w:t>
      </w:r>
      <w:r>
        <w:rPr>
          <w:rFonts w:cs="Arial"/>
          <w:szCs w:val="20"/>
        </w:rPr>
        <w:t>, provavelmente divido ao efeito de diluição</w:t>
      </w:r>
      <w:r w:rsidRPr="00641C68">
        <w:rPr>
          <w:rFonts w:cs="Arial"/>
          <w:szCs w:val="20"/>
        </w:rPr>
        <w:t xml:space="preserve">. </w:t>
      </w:r>
      <w:r>
        <w:br w:type="page"/>
      </w:r>
    </w:p>
    <w:p w14:paraId="0DC8E90F" w14:textId="4203D70A" w:rsidR="008308DE" w:rsidRDefault="00EC0C73" w:rsidP="00CF3145">
      <w:pPr>
        <w:pStyle w:val="Legenda"/>
        <w:keepNext/>
        <w:rPr>
          <w:noProof/>
          <w:lang w:eastAsia="pt-BR"/>
        </w:rPr>
      </w:pPr>
      <w:bookmarkStart w:id="134" w:name="_Ref42076226"/>
      <w:bookmarkStart w:id="135" w:name="_Toc46992169"/>
      <w:r>
        <w:lastRenderedPageBreak/>
        <w:t xml:space="preserve">Figura </w:t>
      </w:r>
      <w:fldSimple w:instr=" SEQ Figura \* ARABIC ">
        <w:r w:rsidR="002C014F">
          <w:rPr>
            <w:noProof/>
          </w:rPr>
          <w:t>35</w:t>
        </w:r>
      </w:fldSimple>
      <w:bookmarkEnd w:id="134"/>
      <w:r>
        <w:t xml:space="preserve"> - </w:t>
      </w:r>
      <w:r w:rsidRPr="000C2FC7">
        <w:t>Variabilidade das concentrações de diferentes hidrocarbonetos poliaromáticos</w:t>
      </w:r>
      <w:r>
        <w:t xml:space="preserve"> nas 163 amostras de sedimentos analisadas das 12 estações de coleta, agrupadas por nos ambientes Rio Guandu, Rio Doce, Lagos e Lagoas ao longo dos períodos out/18 a mar/2019 (período chuvoso- ANO 1), </w:t>
      </w:r>
      <w:proofErr w:type="spellStart"/>
      <w:r>
        <w:t>abr</w:t>
      </w:r>
      <w:proofErr w:type="spellEnd"/>
      <w:r>
        <w:t xml:space="preserve">/19 a set/2019 (período de estiagem- ANO 1) e </w:t>
      </w:r>
      <w:proofErr w:type="spellStart"/>
      <w:r>
        <w:t>nov</w:t>
      </w:r>
      <w:proofErr w:type="spellEnd"/>
      <w:r>
        <w:t>/19 a dez/2019 (período chuvoso- ANO de transição).</w:t>
      </w:r>
      <w:bookmarkEnd w:id="135"/>
      <w:r w:rsidRPr="00525022">
        <w:rPr>
          <w:noProof/>
          <w:lang w:eastAsia="pt-BR"/>
        </w:rPr>
        <w:t xml:space="preserve"> </w:t>
      </w:r>
    </w:p>
    <w:p w14:paraId="23362B33" w14:textId="0210876F" w:rsidR="00851EED" w:rsidRDefault="00EC0C73" w:rsidP="00851EED">
      <w:pPr>
        <w:pStyle w:val="Legenda"/>
        <w:keepNext/>
        <w:rPr>
          <w:iCs w:val="0"/>
        </w:rPr>
      </w:pPr>
      <w:r w:rsidRPr="008D7DC5">
        <w:rPr>
          <w:noProof/>
          <w:lang w:eastAsia="pt-BR"/>
        </w:rPr>
        <w:drawing>
          <wp:inline distT="0" distB="0" distL="0" distR="0" wp14:anchorId="098F1C31" wp14:editId="52392764">
            <wp:extent cx="4060825" cy="6473693"/>
            <wp:effectExtent l="0" t="0" r="0" b="381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063852" cy="6478518"/>
                    </a:xfrm>
                    <a:prstGeom prst="rect">
                      <a:avLst/>
                    </a:prstGeom>
                    <a:noFill/>
                    <a:ln>
                      <a:noFill/>
                    </a:ln>
                  </pic:spPr>
                </pic:pic>
              </a:graphicData>
            </a:graphic>
          </wp:inline>
        </w:drawing>
      </w:r>
      <w:r w:rsidR="00851EED">
        <w:br w:type="page"/>
      </w:r>
    </w:p>
    <w:p w14:paraId="43655427" w14:textId="0C466695" w:rsidR="00EC0C73" w:rsidRDefault="00EC0C73" w:rsidP="00EC0C73">
      <w:pPr>
        <w:ind w:firstLine="708"/>
        <w:rPr>
          <w:rFonts w:cs="Arial"/>
          <w:szCs w:val="20"/>
        </w:rPr>
      </w:pPr>
      <w:r w:rsidRPr="000D2904">
        <w:rPr>
          <w:rFonts w:cs="Arial"/>
          <w:szCs w:val="20"/>
        </w:rPr>
        <w:lastRenderedPageBreak/>
        <w:t>Avaliando-se espacialmente o Ano de transição ao lo</w:t>
      </w:r>
      <w:r>
        <w:rPr>
          <w:rFonts w:cs="Arial"/>
          <w:szCs w:val="20"/>
        </w:rPr>
        <w:t xml:space="preserve">ngo dos ambientes, por meio dos dados da </w:t>
      </w:r>
      <w:r w:rsidR="00F03865">
        <w:rPr>
          <w:rFonts w:cs="Arial"/>
          <w:color w:val="FF0000"/>
          <w:szCs w:val="20"/>
        </w:rPr>
        <w:fldChar w:fldCharType="begin"/>
      </w:r>
      <w:r w:rsidR="00F03865">
        <w:rPr>
          <w:rFonts w:cs="Arial"/>
          <w:szCs w:val="20"/>
        </w:rPr>
        <w:instrText xml:space="preserve"> REF _Ref42076261 \h </w:instrText>
      </w:r>
      <w:r w:rsidR="00F03865">
        <w:rPr>
          <w:rFonts w:cs="Arial"/>
          <w:color w:val="FF0000"/>
          <w:szCs w:val="20"/>
        </w:rPr>
      </w:r>
      <w:r w:rsidR="00F03865">
        <w:rPr>
          <w:rFonts w:cs="Arial"/>
          <w:color w:val="FF0000"/>
          <w:szCs w:val="20"/>
        </w:rPr>
        <w:fldChar w:fldCharType="separate"/>
      </w:r>
      <w:r w:rsidR="002C014F">
        <w:t xml:space="preserve">Figura </w:t>
      </w:r>
      <w:r w:rsidR="002C014F">
        <w:rPr>
          <w:noProof/>
        </w:rPr>
        <w:t>36</w:t>
      </w:r>
      <w:r w:rsidR="00F03865">
        <w:rPr>
          <w:rFonts w:cs="Arial"/>
          <w:color w:val="FF0000"/>
          <w:szCs w:val="20"/>
        </w:rPr>
        <w:fldChar w:fldCharType="end"/>
      </w:r>
      <w:r w:rsidRPr="000D2904">
        <w:rPr>
          <w:rFonts w:cs="Arial"/>
          <w:szCs w:val="20"/>
        </w:rPr>
        <w:t xml:space="preserve">, </w:t>
      </w:r>
      <w:r>
        <w:rPr>
          <w:rFonts w:cs="Arial"/>
          <w:szCs w:val="20"/>
        </w:rPr>
        <w:t>verificou-se que o</w:t>
      </w:r>
      <w:r w:rsidRPr="000D2904">
        <w:rPr>
          <w:rFonts w:cs="Arial"/>
          <w:szCs w:val="20"/>
        </w:rPr>
        <w:t xml:space="preserve"> ambiente</w:t>
      </w:r>
      <w:r>
        <w:rPr>
          <w:rFonts w:cs="Arial"/>
          <w:szCs w:val="20"/>
        </w:rPr>
        <w:t xml:space="preserve"> Lagos</w:t>
      </w:r>
      <w:r w:rsidRPr="000D2904">
        <w:rPr>
          <w:rFonts w:cs="Arial"/>
          <w:szCs w:val="20"/>
        </w:rPr>
        <w:t xml:space="preserve"> apresent</w:t>
      </w:r>
      <w:r>
        <w:rPr>
          <w:rFonts w:cs="Arial"/>
          <w:szCs w:val="20"/>
        </w:rPr>
        <w:t xml:space="preserve">ou um maior número de espécies de HPAs e as maiores concentrações. </w:t>
      </w:r>
      <w:r w:rsidRPr="000D2904">
        <w:rPr>
          <w:rFonts w:cs="Arial"/>
          <w:szCs w:val="20"/>
        </w:rPr>
        <w:t xml:space="preserve">Verificou-se também que a distribuição de HPAs </w:t>
      </w:r>
      <w:r>
        <w:rPr>
          <w:rFonts w:cs="Arial"/>
          <w:szCs w:val="20"/>
        </w:rPr>
        <w:t>comportou-se de modo semelhante para o Rio Guandu e o Rio Doce, apresentando maiores ocorrências para os compostos fenantreno, fluoranteno e pireno. Já os Lagos e Lagoas apresentaram uma distribuição maior, com mais diversificação dos poluentes. Estes estão em maior concentração nos Lagos, que por serem mais profundos, permitem um maior acúmulo, com menor transbordamento.</w:t>
      </w:r>
    </w:p>
    <w:p w14:paraId="215A2C91" w14:textId="73EE774F" w:rsidR="00EC0C73" w:rsidRPr="0018042E" w:rsidRDefault="00EC0C73" w:rsidP="00EC0C73">
      <w:pPr>
        <w:pStyle w:val="Legenda"/>
        <w:keepNext/>
      </w:pPr>
      <w:bookmarkStart w:id="136" w:name="_Ref42076261"/>
      <w:bookmarkStart w:id="137" w:name="_Toc46992170"/>
      <w:r>
        <w:lastRenderedPageBreak/>
        <w:t xml:space="preserve">Figura </w:t>
      </w:r>
      <w:fldSimple w:instr=" SEQ Figura \* ARABIC ">
        <w:r w:rsidR="002C014F">
          <w:rPr>
            <w:noProof/>
          </w:rPr>
          <w:t>36</w:t>
        </w:r>
      </w:fldSimple>
      <w:bookmarkEnd w:id="136"/>
      <w:r>
        <w:t xml:space="preserve"> - Variabilidade das concentrações de diferentes hidrocarbonetos poliaromáticos nas 22 amostras de sedimentos analisadas no período de transição (</w:t>
      </w:r>
      <w:proofErr w:type="spellStart"/>
      <w:r>
        <w:t>nov</w:t>
      </w:r>
      <w:proofErr w:type="spellEnd"/>
      <w:r>
        <w:t xml:space="preserve">/2019 a dez/19) agrupadas em diferentes ambientes (Rio </w:t>
      </w:r>
      <w:proofErr w:type="spellStart"/>
      <w:r>
        <w:t>Guandú</w:t>
      </w:r>
      <w:proofErr w:type="spellEnd"/>
      <w:r>
        <w:t>, Rio Doce, Lagos e Lagoas).</w:t>
      </w:r>
      <w:bookmarkEnd w:id="137"/>
    </w:p>
    <w:p w14:paraId="1B6C8CB2" w14:textId="77777777" w:rsidR="00EC0C73" w:rsidRDefault="00EC0C73" w:rsidP="00EC0C73">
      <w:pPr>
        <w:jc w:val="center"/>
      </w:pPr>
      <w:r w:rsidRPr="008D7DC5">
        <w:rPr>
          <w:noProof/>
          <w:lang w:eastAsia="pt-BR"/>
        </w:rPr>
        <w:drawing>
          <wp:inline distT="0" distB="0" distL="0" distR="0" wp14:anchorId="75A90BE1" wp14:editId="7139ADCC">
            <wp:extent cx="4331335" cy="7511143"/>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332706" cy="7513521"/>
                    </a:xfrm>
                    <a:prstGeom prst="rect">
                      <a:avLst/>
                    </a:prstGeom>
                    <a:noFill/>
                    <a:ln>
                      <a:noFill/>
                    </a:ln>
                  </pic:spPr>
                </pic:pic>
              </a:graphicData>
            </a:graphic>
          </wp:inline>
        </w:drawing>
      </w:r>
    </w:p>
    <w:p w14:paraId="2E5E5039" w14:textId="31BAF645" w:rsidR="00EC0C73" w:rsidRPr="00641C68" w:rsidRDefault="00EC0C73" w:rsidP="00EC0C73">
      <w:pPr>
        <w:ind w:firstLine="708"/>
        <w:rPr>
          <w:rFonts w:cs="Arial"/>
          <w:szCs w:val="20"/>
        </w:rPr>
      </w:pPr>
      <w:r w:rsidRPr="00641C68">
        <w:rPr>
          <w:rFonts w:cs="Arial"/>
          <w:szCs w:val="20"/>
        </w:rPr>
        <w:lastRenderedPageBreak/>
        <w:t xml:space="preserve">Dados numéricos que apresentam os limites e os valores percentuais de não conformidades referentes aos HPA para os três períodos estão apresentados na </w:t>
      </w:r>
      <w:r w:rsidR="00F03865">
        <w:rPr>
          <w:rFonts w:cs="Arial"/>
          <w:color w:val="FF0000"/>
          <w:szCs w:val="20"/>
        </w:rPr>
        <w:fldChar w:fldCharType="begin"/>
      </w:r>
      <w:r w:rsidR="00F03865">
        <w:rPr>
          <w:rFonts w:cs="Arial"/>
          <w:szCs w:val="20"/>
        </w:rPr>
        <w:instrText xml:space="preserve"> REF _Ref42076293 \h </w:instrText>
      </w:r>
      <w:r w:rsidR="00F03865">
        <w:rPr>
          <w:rFonts w:cs="Arial"/>
          <w:color w:val="FF0000"/>
          <w:szCs w:val="20"/>
        </w:rPr>
      </w:r>
      <w:r w:rsidR="00F03865">
        <w:rPr>
          <w:rFonts w:cs="Arial"/>
          <w:color w:val="FF0000"/>
          <w:szCs w:val="20"/>
        </w:rPr>
        <w:fldChar w:fldCharType="separate"/>
      </w:r>
      <w:r w:rsidR="002C014F">
        <w:t xml:space="preserve">Tabela </w:t>
      </w:r>
      <w:r w:rsidR="002C014F">
        <w:rPr>
          <w:noProof/>
        </w:rPr>
        <w:t>14</w:t>
      </w:r>
      <w:r w:rsidR="00F03865">
        <w:rPr>
          <w:rFonts w:cs="Arial"/>
          <w:color w:val="FF0000"/>
          <w:szCs w:val="20"/>
        </w:rPr>
        <w:fldChar w:fldCharType="end"/>
      </w:r>
      <w:r w:rsidRPr="00641C68">
        <w:rPr>
          <w:rFonts w:cs="Arial"/>
          <w:szCs w:val="20"/>
        </w:rPr>
        <w:t>.</w:t>
      </w:r>
    </w:p>
    <w:p w14:paraId="277617F1" w14:textId="36E9A5AD" w:rsidR="008308DE" w:rsidRDefault="00EC0C73" w:rsidP="001724F6">
      <w:pPr>
        <w:pStyle w:val="Legenda"/>
        <w:keepNext/>
      </w:pPr>
      <w:bookmarkStart w:id="138" w:name="_Ref42076293"/>
      <w:bookmarkStart w:id="139" w:name="_Toc46992189"/>
      <w:r>
        <w:t xml:space="preserve">Tabela </w:t>
      </w:r>
      <w:fldSimple w:instr=" SEQ Tabela \* ARABIC ">
        <w:r w:rsidR="002C014F">
          <w:rPr>
            <w:noProof/>
          </w:rPr>
          <w:t>14</w:t>
        </w:r>
      </w:fldSimple>
      <w:bookmarkEnd w:id="138"/>
      <w:r>
        <w:t xml:space="preserve"> - Limites CONAMA classe 2 e NOAA crônico, bem como índices de não conformidade para todas as amostras analisadas para os poliaromáticos</w:t>
      </w:r>
      <w:bookmarkEnd w:id="139"/>
      <w:r>
        <w:t xml:space="preserve"> </w:t>
      </w:r>
    </w:p>
    <w:p w14:paraId="54CB33D6" w14:textId="78813A1C" w:rsidR="00EC0C73" w:rsidRDefault="00EC0C73" w:rsidP="001724F6">
      <w:pPr>
        <w:pStyle w:val="Legenda"/>
        <w:keepNext/>
      </w:pPr>
      <w:r w:rsidRPr="00D93C40">
        <w:rPr>
          <w:noProof/>
          <w:lang w:eastAsia="pt-BR"/>
        </w:rPr>
        <w:drawing>
          <wp:inline distT="0" distB="0" distL="0" distR="0" wp14:anchorId="4CCD5D13" wp14:editId="7D788661">
            <wp:extent cx="5400040" cy="286131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400040" cy="2861310"/>
                    </a:xfrm>
                    <a:prstGeom prst="rect">
                      <a:avLst/>
                    </a:prstGeom>
                    <a:noFill/>
                    <a:ln>
                      <a:noFill/>
                    </a:ln>
                  </pic:spPr>
                </pic:pic>
              </a:graphicData>
            </a:graphic>
          </wp:inline>
        </w:drawing>
      </w:r>
    </w:p>
    <w:p w14:paraId="12907EB9" w14:textId="5F21ACB2" w:rsidR="00EC0C73" w:rsidRDefault="00EC0C73" w:rsidP="00EC0C73">
      <w:pPr>
        <w:ind w:firstLine="708"/>
        <w:rPr>
          <w:rFonts w:cs="Arial"/>
          <w:szCs w:val="20"/>
        </w:rPr>
      </w:pPr>
      <w:r w:rsidRPr="002C7F04">
        <w:rPr>
          <w:rFonts w:cs="Arial"/>
          <w:szCs w:val="20"/>
        </w:rPr>
        <w:t xml:space="preserve">Observou-se, por meio da </w:t>
      </w:r>
      <w:r w:rsidR="00F03865">
        <w:rPr>
          <w:rFonts w:cs="Arial"/>
          <w:color w:val="FF0000"/>
          <w:szCs w:val="20"/>
        </w:rPr>
        <w:fldChar w:fldCharType="begin"/>
      </w:r>
      <w:r w:rsidR="00F03865">
        <w:rPr>
          <w:rFonts w:cs="Arial"/>
          <w:szCs w:val="20"/>
        </w:rPr>
        <w:instrText xml:space="preserve"> REF _Ref42076293 \h </w:instrText>
      </w:r>
      <w:r w:rsidR="00F03865">
        <w:rPr>
          <w:rFonts w:cs="Arial"/>
          <w:color w:val="FF0000"/>
          <w:szCs w:val="20"/>
        </w:rPr>
      </w:r>
      <w:r w:rsidR="00F03865">
        <w:rPr>
          <w:rFonts w:cs="Arial"/>
          <w:color w:val="FF0000"/>
          <w:szCs w:val="20"/>
        </w:rPr>
        <w:fldChar w:fldCharType="separate"/>
      </w:r>
      <w:r w:rsidR="002C014F">
        <w:t xml:space="preserve">Tabela </w:t>
      </w:r>
      <w:r w:rsidR="002C014F">
        <w:rPr>
          <w:noProof/>
        </w:rPr>
        <w:t>14</w:t>
      </w:r>
      <w:r w:rsidR="00F03865">
        <w:rPr>
          <w:rFonts w:cs="Arial"/>
          <w:color w:val="FF0000"/>
          <w:szCs w:val="20"/>
        </w:rPr>
        <w:fldChar w:fldCharType="end"/>
      </w:r>
      <w:r w:rsidRPr="002C7F04">
        <w:rPr>
          <w:rFonts w:cs="Arial"/>
          <w:szCs w:val="20"/>
        </w:rPr>
        <w:t xml:space="preserve">, que </w:t>
      </w:r>
      <w:r>
        <w:rPr>
          <w:rFonts w:cs="Arial"/>
          <w:szCs w:val="20"/>
        </w:rPr>
        <w:t>n</w:t>
      </w:r>
      <w:r w:rsidRPr="002C7F04">
        <w:rPr>
          <w:rFonts w:cs="Arial"/>
          <w:szCs w:val="20"/>
        </w:rPr>
        <w:t xml:space="preserve">o período de transição </w:t>
      </w:r>
      <w:r>
        <w:rPr>
          <w:rFonts w:cs="Arial"/>
          <w:szCs w:val="20"/>
        </w:rPr>
        <w:t>todas as amostras estavam conformes, segundo requisitos da resolução Conama 454/12 Nível 2 e dos Limites estabelecidos pela NOAA.</w:t>
      </w:r>
    </w:p>
    <w:p w14:paraId="4C5A3AD9" w14:textId="77777777" w:rsidR="00EC0C73" w:rsidRPr="002C7F04" w:rsidRDefault="00EC0C73" w:rsidP="00EC0C73">
      <w:pPr>
        <w:ind w:firstLine="708"/>
        <w:rPr>
          <w:rFonts w:cs="Arial"/>
          <w:szCs w:val="20"/>
        </w:rPr>
      </w:pPr>
      <w:r w:rsidRPr="002C7F04">
        <w:rPr>
          <w:rFonts w:cs="Arial"/>
          <w:szCs w:val="20"/>
        </w:rPr>
        <w:t xml:space="preserve">Mesmo não </w:t>
      </w:r>
      <w:r>
        <w:rPr>
          <w:rFonts w:cs="Arial"/>
          <w:szCs w:val="20"/>
        </w:rPr>
        <w:t xml:space="preserve">apresentando não </w:t>
      </w:r>
      <w:r w:rsidRPr="002C7F04">
        <w:rPr>
          <w:rFonts w:cs="Arial"/>
          <w:szCs w:val="20"/>
        </w:rPr>
        <w:t xml:space="preserve">conformidade desses parâmetros no </w:t>
      </w:r>
      <w:r>
        <w:rPr>
          <w:rFonts w:cs="Arial"/>
          <w:szCs w:val="20"/>
        </w:rPr>
        <w:t>a</w:t>
      </w:r>
      <w:r w:rsidRPr="002C7F04">
        <w:rPr>
          <w:rFonts w:cs="Arial"/>
          <w:szCs w:val="20"/>
        </w:rPr>
        <w:t xml:space="preserve">no de transição, </w:t>
      </w:r>
      <w:r>
        <w:rPr>
          <w:rFonts w:cs="Arial"/>
          <w:szCs w:val="20"/>
        </w:rPr>
        <w:t>é</w:t>
      </w:r>
      <w:r w:rsidRPr="002C7F04">
        <w:rPr>
          <w:rFonts w:cs="Arial"/>
          <w:szCs w:val="20"/>
        </w:rPr>
        <w:t xml:space="preserve"> extremamente necessário monitorá-los, visto que os HPAs apresentam grande toxicidade e impacto sobre a saúde humana, apontados como carcinogênicos, mutagênicos e/ou teratogênicos na natureza, e listados pelo Programa Ambiental das Nações Unidas (UNEP) como poluentes orgânicos persistentes (</w:t>
      </w:r>
      <w:proofErr w:type="spellStart"/>
      <w:r w:rsidRPr="002C7F04">
        <w:rPr>
          <w:rFonts w:cs="Arial"/>
          <w:szCs w:val="20"/>
        </w:rPr>
        <w:t>POPs</w:t>
      </w:r>
      <w:proofErr w:type="spellEnd"/>
      <w:r w:rsidRPr="002C7F04">
        <w:rPr>
          <w:rFonts w:cs="Arial"/>
          <w:szCs w:val="20"/>
        </w:rPr>
        <w:t>)</w:t>
      </w:r>
      <w:r>
        <w:rPr>
          <w:rFonts w:cs="Arial"/>
          <w:szCs w:val="20"/>
        </w:rPr>
        <w:t>, conforme</w:t>
      </w:r>
      <w:r w:rsidRPr="002C7F04">
        <w:rPr>
          <w:rFonts w:cs="Arial"/>
          <w:szCs w:val="20"/>
        </w:rPr>
        <w:t xml:space="preserve"> a Convenção de Estocolmo em 2001. Sua presença está associada diretamente com atividades antropogênicas como a sua emissão pela combustão incompleta de diesel, gasolina, carvão mineral e vegetal, termelétricas, indústrias de cimento</w:t>
      </w:r>
      <w:r>
        <w:rPr>
          <w:rFonts w:cs="Arial"/>
          <w:szCs w:val="20"/>
        </w:rPr>
        <w:t xml:space="preserve"> e outros</w:t>
      </w:r>
      <w:r w:rsidRPr="002C7F04">
        <w:rPr>
          <w:rFonts w:cs="Arial"/>
          <w:szCs w:val="20"/>
        </w:rPr>
        <w:t xml:space="preserve">. </w:t>
      </w:r>
    </w:p>
    <w:p w14:paraId="3C908726" w14:textId="77777777" w:rsidR="00EC0C73" w:rsidRDefault="00EC0C73" w:rsidP="00EC0C73">
      <w:pPr>
        <w:ind w:firstLine="708"/>
        <w:jc w:val="center"/>
      </w:pPr>
      <w:r>
        <w:br w:type="page"/>
      </w:r>
    </w:p>
    <w:p w14:paraId="0F9DA15D" w14:textId="23943E9F" w:rsidR="00EC0C73" w:rsidRPr="00904E1A" w:rsidRDefault="00EC0C73" w:rsidP="004F2736">
      <w:pPr>
        <w:pStyle w:val="Ttulo3"/>
      </w:pPr>
      <w:bookmarkStart w:id="140" w:name="_Toc46992132"/>
      <w:r w:rsidRPr="00904E1A">
        <w:lastRenderedPageBreak/>
        <w:t>Hidrocarbonetos alifáticos</w:t>
      </w:r>
      <w:bookmarkEnd w:id="140"/>
    </w:p>
    <w:p w14:paraId="2D44171F" w14:textId="77777777" w:rsidR="00EC0C73" w:rsidRPr="00BB334E" w:rsidRDefault="00EC0C73" w:rsidP="00EC0C73">
      <w:pPr>
        <w:ind w:firstLine="708"/>
        <w:rPr>
          <w:rFonts w:cs="Arial"/>
          <w:szCs w:val="20"/>
        </w:rPr>
      </w:pPr>
      <w:r w:rsidRPr="00BB334E">
        <w:rPr>
          <w:rFonts w:cs="Arial"/>
          <w:szCs w:val="20"/>
        </w:rPr>
        <w:t>Analis</w:t>
      </w:r>
      <w:r>
        <w:rPr>
          <w:rFonts w:cs="Arial"/>
          <w:szCs w:val="20"/>
        </w:rPr>
        <w:t>aram</w:t>
      </w:r>
      <w:r w:rsidRPr="00BB334E">
        <w:rPr>
          <w:rFonts w:cs="Arial"/>
          <w:szCs w:val="20"/>
        </w:rPr>
        <w:t>-se as amostras de água até a 1</w:t>
      </w:r>
      <w:r>
        <w:rPr>
          <w:rFonts w:cs="Arial"/>
          <w:szCs w:val="20"/>
        </w:rPr>
        <w:t>4</w:t>
      </w:r>
      <w:r w:rsidRPr="00904E1A">
        <w:rPr>
          <w:rFonts w:cs="Arial"/>
          <w:szCs w:val="20"/>
          <w:vertAlign w:val="superscript"/>
        </w:rPr>
        <w:t>a</w:t>
      </w:r>
      <w:r w:rsidRPr="00BB334E">
        <w:rPr>
          <w:rFonts w:cs="Arial"/>
          <w:szCs w:val="20"/>
        </w:rPr>
        <w:t xml:space="preserve"> campanha, totalizando </w:t>
      </w:r>
      <w:r>
        <w:rPr>
          <w:rFonts w:cs="Arial"/>
          <w:szCs w:val="20"/>
        </w:rPr>
        <w:t>163 amostras, das quais 22</w:t>
      </w:r>
      <w:r w:rsidRPr="00BB334E">
        <w:rPr>
          <w:rFonts w:cs="Arial"/>
          <w:szCs w:val="20"/>
        </w:rPr>
        <w:t xml:space="preserve"> são do ano de transição, conforme a metodologia de determinação de Hidrocarbonetos Alifáticos proposta no Ano 1. </w:t>
      </w:r>
    </w:p>
    <w:p w14:paraId="2837CBCB" w14:textId="5213C136" w:rsidR="00EC0C73" w:rsidRPr="00BB334E" w:rsidRDefault="00EC0C73" w:rsidP="00EC0C73">
      <w:pPr>
        <w:rPr>
          <w:rFonts w:cs="Arial"/>
          <w:szCs w:val="20"/>
        </w:rPr>
      </w:pPr>
      <w:r w:rsidRPr="00BB334E">
        <w:rPr>
          <w:rFonts w:cs="Arial"/>
          <w:szCs w:val="20"/>
        </w:rPr>
        <w:tab/>
        <w:t xml:space="preserve">A </w:t>
      </w:r>
      <w:r w:rsidR="00F03865">
        <w:rPr>
          <w:rFonts w:cs="Arial"/>
          <w:color w:val="FF0000"/>
          <w:szCs w:val="20"/>
        </w:rPr>
        <w:fldChar w:fldCharType="begin"/>
      </w:r>
      <w:r w:rsidR="00F03865">
        <w:rPr>
          <w:rFonts w:cs="Arial"/>
          <w:szCs w:val="20"/>
        </w:rPr>
        <w:instrText xml:space="preserve"> REF _Ref42076352 \h </w:instrText>
      </w:r>
      <w:r w:rsidR="00F03865">
        <w:rPr>
          <w:rFonts w:cs="Arial"/>
          <w:color w:val="FF0000"/>
          <w:szCs w:val="20"/>
        </w:rPr>
      </w:r>
      <w:r w:rsidR="00F03865">
        <w:rPr>
          <w:rFonts w:cs="Arial"/>
          <w:color w:val="FF0000"/>
          <w:szCs w:val="20"/>
        </w:rPr>
        <w:fldChar w:fldCharType="separate"/>
      </w:r>
      <w:r w:rsidR="002C014F">
        <w:t xml:space="preserve">Figura </w:t>
      </w:r>
      <w:r w:rsidR="002C014F">
        <w:rPr>
          <w:noProof/>
        </w:rPr>
        <w:t>37</w:t>
      </w:r>
      <w:r w:rsidR="00F03865">
        <w:rPr>
          <w:rFonts w:cs="Arial"/>
          <w:color w:val="FF0000"/>
          <w:szCs w:val="20"/>
        </w:rPr>
        <w:fldChar w:fldCharType="end"/>
      </w:r>
      <w:r w:rsidR="00F03865">
        <w:rPr>
          <w:rFonts w:cs="Arial"/>
          <w:color w:val="FF0000"/>
          <w:szCs w:val="20"/>
        </w:rPr>
        <w:t xml:space="preserve"> </w:t>
      </w:r>
      <w:r w:rsidRPr="00BB334E">
        <w:rPr>
          <w:rFonts w:cs="Arial"/>
          <w:szCs w:val="20"/>
        </w:rPr>
        <w:t xml:space="preserve">apresenta o gráfico </w:t>
      </w:r>
      <w:r>
        <w:rPr>
          <w:rFonts w:cs="Arial"/>
          <w:szCs w:val="20"/>
        </w:rPr>
        <w:t xml:space="preserve">do tipo </w:t>
      </w:r>
      <w:r w:rsidRPr="00BB334E">
        <w:rPr>
          <w:rFonts w:cs="Arial"/>
          <w:szCs w:val="20"/>
        </w:rPr>
        <w:t>box-</w:t>
      </w:r>
      <w:proofErr w:type="spellStart"/>
      <w:r w:rsidRPr="00BB334E">
        <w:rPr>
          <w:rFonts w:cs="Arial"/>
          <w:szCs w:val="20"/>
        </w:rPr>
        <w:t>plot</w:t>
      </w:r>
      <w:proofErr w:type="spellEnd"/>
      <w:r w:rsidRPr="00BB334E">
        <w:rPr>
          <w:rFonts w:cs="Arial"/>
          <w:szCs w:val="20"/>
        </w:rPr>
        <w:t xml:space="preserve"> para os Hidrocarbonetos alifáticos totais (somatória dos 34 compostos analisados) em água nos diferentes ambientes ao longo dos três períodos. Para a avaliação temporal, percebe-se que em todos ambientes houve uma diminuição significativa das concentrações de Hidrocarbonetos alifáticos totais no período de transição (</w:t>
      </w:r>
      <w:proofErr w:type="spellStart"/>
      <w:r w:rsidRPr="00BB334E">
        <w:rPr>
          <w:rFonts w:cs="Arial"/>
          <w:szCs w:val="20"/>
        </w:rPr>
        <w:t>nov</w:t>
      </w:r>
      <w:proofErr w:type="spellEnd"/>
      <w:r w:rsidRPr="00BB334E">
        <w:rPr>
          <w:rFonts w:cs="Arial"/>
          <w:szCs w:val="20"/>
        </w:rPr>
        <w:t xml:space="preserve">/2019 a </w:t>
      </w:r>
      <w:r>
        <w:rPr>
          <w:rFonts w:cs="Arial"/>
          <w:szCs w:val="20"/>
        </w:rPr>
        <w:t>dez/19</w:t>
      </w:r>
      <w:r w:rsidRPr="00BB334E">
        <w:rPr>
          <w:rFonts w:cs="Arial"/>
          <w:szCs w:val="20"/>
        </w:rPr>
        <w:t xml:space="preserve">) quando comparado com o Ano 1. </w:t>
      </w:r>
    </w:p>
    <w:p w14:paraId="7F91E1D1" w14:textId="77777777" w:rsidR="00EC0C73" w:rsidRDefault="00EC0C73" w:rsidP="00EC0C73">
      <w:pPr>
        <w:rPr>
          <w:iCs/>
          <w:sz w:val="16"/>
          <w:szCs w:val="18"/>
        </w:rPr>
      </w:pPr>
      <w:r>
        <w:br w:type="page"/>
      </w:r>
    </w:p>
    <w:p w14:paraId="1A90FC2D" w14:textId="01FD1107" w:rsidR="00EC0C73" w:rsidRDefault="00EC0C73" w:rsidP="00EC0C73">
      <w:pPr>
        <w:pStyle w:val="Legenda"/>
        <w:keepNext/>
        <w:rPr>
          <w:noProof/>
          <w:lang w:eastAsia="pt-BR"/>
        </w:rPr>
      </w:pPr>
      <w:bookmarkStart w:id="141" w:name="_Ref42076352"/>
      <w:bookmarkStart w:id="142" w:name="_Toc46992171"/>
      <w:r>
        <w:lastRenderedPageBreak/>
        <w:t xml:space="preserve">Figura </w:t>
      </w:r>
      <w:fldSimple w:instr=" SEQ Figura \* ARABIC ">
        <w:r w:rsidR="002C014F">
          <w:rPr>
            <w:noProof/>
          </w:rPr>
          <w:t>37</w:t>
        </w:r>
      </w:fldSimple>
      <w:bookmarkEnd w:id="141"/>
      <w:r>
        <w:t xml:space="preserve"> - </w:t>
      </w:r>
      <w:r w:rsidRPr="000C2FC7">
        <w:t xml:space="preserve">Variabilidade das concentrações de diferentes hidrocarbonetos </w:t>
      </w:r>
      <w:r>
        <w:t xml:space="preserve">alifáticos nas 22 amostras de água analisadas das 12 estações de coleta, agrupadas por nos ambientes Rio Guandu, Rio Doce, Lagos e Lagoas ao longo os períodos out/18 a mar/2019 (período chuvoso- ANO 1), </w:t>
      </w:r>
      <w:proofErr w:type="spellStart"/>
      <w:r>
        <w:t>abr</w:t>
      </w:r>
      <w:proofErr w:type="spellEnd"/>
      <w:r>
        <w:t xml:space="preserve">/19 a set/2019 (período de estiagem- ANO 1) e </w:t>
      </w:r>
      <w:proofErr w:type="spellStart"/>
      <w:r>
        <w:t>nov</w:t>
      </w:r>
      <w:proofErr w:type="spellEnd"/>
      <w:r>
        <w:t>/19 a dez /2020 (período chuvoso- ANO de transição).</w:t>
      </w:r>
      <w:bookmarkEnd w:id="142"/>
      <w:r w:rsidRPr="00525022">
        <w:rPr>
          <w:noProof/>
          <w:lang w:eastAsia="pt-BR"/>
        </w:rPr>
        <w:t xml:space="preserve"> </w:t>
      </w:r>
    </w:p>
    <w:p w14:paraId="4726F788" w14:textId="77777777" w:rsidR="00EC0C73" w:rsidRPr="004355E4" w:rsidRDefault="00EC0C73" w:rsidP="00EC0C73">
      <w:pPr>
        <w:jc w:val="center"/>
        <w:rPr>
          <w:lang w:eastAsia="pt-BR"/>
        </w:rPr>
      </w:pPr>
      <w:r w:rsidRPr="000533A1">
        <w:rPr>
          <w:noProof/>
          <w:lang w:eastAsia="pt-BR"/>
        </w:rPr>
        <w:drawing>
          <wp:inline distT="0" distB="0" distL="0" distR="0" wp14:anchorId="13C82756" wp14:editId="0099B788">
            <wp:extent cx="3530561" cy="5777346"/>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536269" cy="5786686"/>
                    </a:xfrm>
                    <a:prstGeom prst="rect">
                      <a:avLst/>
                    </a:prstGeom>
                    <a:noFill/>
                    <a:ln>
                      <a:noFill/>
                    </a:ln>
                  </pic:spPr>
                </pic:pic>
              </a:graphicData>
            </a:graphic>
          </wp:inline>
        </w:drawing>
      </w:r>
    </w:p>
    <w:p w14:paraId="22EC7763" w14:textId="77777777" w:rsidR="001724F6" w:rsidRDefault="001724F6" w:rsidP="00EC0C73">
      <w:pPr>
        <w:ind w:firstLine="708"/>
        <w:rPr>
          <w:rFonts w:cs="Arial"/>
          <w:szCs w:val="20"/>
        </w:rPr>
      </w:pPr>
    </w:p>
    <w:p w14:paraId="341BB7B1" w14:textId="525E382F" w:rsidR="00EC0C73" w:rsidRDefault="00EC0C73" w:rsidP="00EC0C73">
      <w:pPr>
        <w:ind w:firstLine="708"/>
      </w:pPr>
      <w:r>
        <w:rPr>
          <w:rFonts w:cs="Arial"/>
          <w:szCs w:val="20"/>
        </w:rPr>
        <w:t xml:space="preserve">Ao avaliar espacialmente, </w:t>
      </w:r>
      <w:r w:rsidR="00F03865">
        <w:rPr>
          <w:rFonts w:cs="Arial"/>
          <w:color w:val="FF0000"/>
          <w:szCs w:val="20"/>
        </w:rPr>
        <w:fldChar w:fldCharType="begin"/>
      </w:r>
      <w:r w:rsidR="00F03865">
        <w:rPr>
          <w:rFonts w:cs="Arial"/>
          <w:szCs w:val="20"/>
        </w:rPr>
        <w:instrText xml:space="preserve"> REF _Ref42076399 \h </w:instrText>
      </w:r>
      <w:r w:rsidR="00F03865">
        <w:rPr>
          <w:rFonts w:cs="Arial"/>
          <w:color w:val="FF0000"/>
          <w:szCs w:val="20"/>
        </w:rPr>
      </w:r>
      <w:r w:rsidR="00F03865">
        <w:rPr>
          <w:rFonts w:cs="Arial"/>
          <w:color w:val="FF0000"/>
          <w:szCs w:val="20"/>
        </w:rPr>
        <w:fldChar w:fldCharType="separate"/>
      </w:r>
      <w:r w:rsidR="002C014F">
        <w:t xml:space="preserve">Figura </w:t>
      </w:r>
      <w:r w:rsidR="002C014F">
        <w:rPr>
          <w:noProof/>
        </w:rPr>
        <w:t>38</w:t>
      </w:r>
      <w:r w:rsidR="00F03865">
        <w:rPr>
          <w:rFonts w:cs="Arial"/>
          <w:color w:val="FF0000"/>
          <w:szCs w:val="20"/>
        </w:rPr>
        <w:fldChar w:fldCharType="end"/>
      </w:r>
      <w:r w:rsidR="00F03865">
        <w:rPr>
          <w:rFonts w:cs="Arial"/>
          <w:szCs w:val="20"/>
        </w:rPr>
        <w:t xml:space="preserve"> e </w:t>
      </w:r>
      <w:r w:rsidR="00F03865">
        <w:rPr>
          <w:rFonts w:cs="Arial"/>
          <w:szCs w:val="20"/>
        </w:rPr>
        <w:fldChar w:fldCharType="begin"/>
      </w:r>
      <w:r w:rsidR="00F03865">
        <w:rPr>
          <w:rFonts w:cs="Arial"/>
          <w:szCs w:val="20"/>
        </w:rPr>
        <w:instrText xml:space="preserve"> REF _Ref42076450 \h </w:instrText>
      </w:r>
      <w:r w:rsidR="00F03865">
        <w:rPr>
          <w:rFonts w:cs="Arial"/>
          <w:szCs w:val="20"/>
        </w:rPr>
      </w:r>
      <w:r w:rsidR="00F03865">
        <w:rPr>
          <w:rFonts w:cs="Arial"/>
          <w:szCs w:val="20"/>
        </w:rPr>
        <w:fldChar w:fldCharType="separate"/>
      </w:r>
      <w:r w:rsidR="002C014F">
        <w:t xml:space="preserve">Figura </w:t>
      </w:r>
      <w:r w:rsidR="002C014F">
        <w:rPr>
          <w:noProof/>
        </w:rPr>
        <w:t>39</w:t>
      </w:r>
      <w:r w:rsidR="00F03865">
        <w:rPr>
          <w:rFonts w:cs="Arial"/>
          <w:szCs w:val="20"/>
        </w:rPr>
        <w:fldChar w:fldCharType="end"/>
      </w:r>
      <w:r w:rsidR="00F03865">
        <w:rPr>
          <w:rFonts w:cs="Arial"/>
          <w:szCs w:val="20"/>
        </w:rPr>
        <w:t>,</w:t>
      </w:r>
      <w:r w:rsidRPr="00B87A60">
        <w:rPr>
          <w:rFonts w:cs="Arial"/>
          <w:szCs w:val="20"/>
        </w:rPr>
        <w:t xml:space="preserve"> a</w:t>
      </w:r>
      <w:r>
        <w:rPr>
          <w:rFonts w:cs="Arial"/>
          <w:szCs w:val="20"/>
        </w:rPr>
        <w:t>s</w:t>
      </w:r>
      <w:r w:rsidRPr="00B87A60">
        <w:rPr>
          <w:rFonts w:cs="Arial"/>
          <w:szCs w:val="20"/>
        </w:rPr>
        <w:t xml:space="preserve"> distribuiç</w:t>
      </w:r>
      <w:r>
        <w:rPr>
          <w:rFonts w:cs="Arial"/>
          <w:szCs w:val="20"/>
        </w:rPr>
        <w:t>ões</w:t>
      </w:r>
      <w:r w:rsidRPr="00B87A60">
        <w:rPr>
          <w:rFonts w:cs="Arial"/>
          <w:szCs w:val="20"/>
        </w:rPr>
        <w:t xml:space="preserve"> dos hidrocarbonetos alifáticos no Rio Guandu e Rio Doce </w:t>
      </w:r>
      <w:r>
        <w:rPr>
          <w:rFonts w:cs="Arial"/>
          <w:szCs w:val="20"/>
        </w:rPr>
        <w:t>apresentaram</w:t>
      </w:r>
      <w:r w:rsidRPr="00B87A60">
        <w:rPr>
          <w:rFonts w:cs="Arial"/>
          <w:szCs w:val="20"/>
        </w:rPr>
        <w:t xml:space="preserve"> uma</w:t>
      </w:r>
      <w:r>
        <w:rPr>
          <w:rFonts w:cs="Arial"/>
          <w:szCs w:val="20"/>
        </w:rPr>
        <w:t xml:space="preserve"> menor ocorrência dos </w:t>
      </w:r>
      <w:r w:rsidRPr="00B87A60">
        <w:rPr>
          <w:rFonts w:cs="Arial"/>
          <w:szCs w:val="20"/>
        </w:rPr>
        <w:t>alifáticos</w:t>
      </w:r>
      <w:r>
        <w:rPr>
          <w:rFonts w:cs="Arial"/>
          <w:szCs w:val="20"/>
        </w:rPr>
        <w:t xml:space="preserve">. Os ambientes Lagos e Lagoas mostraram uma prevalência dos alifáticos </w:t>
      </w:r>
      <w:r w:rsidRPr="006C5C7E">
        <w:rPr>
          <w:rFonts w:cs="Arial"/>
          <w:szCs w:val="20"/>
        </w:rPr>
        <w:t>C</w:t>
      </w:r>
      <w:r>
        <w:rPr>
          <w:rFonts w:cs="Arial"/>
          <w:szCs w:val="20"/>
        </w:rPr>
        <w:t>23</w:t>
      </w:r>
      <w:r w:rsidRPr="006C5C7E">
        <w:rPr>
          <w:rFonts w:cs="Arial"/>
          <w:szCs w:val="20"/>
        </w:rPr>
        <w:t xml:space="preserve"> a C3</w:t>
      </w:r>
      <w:r>
        <w:rPr>
          <w:rFonts w:cs="Arial"/>
          <w:szCs w:val="20"/>
        </w:rPr>
        <w:t xml:space="preserve">3 e apresentaram um comportamento heterogêneo, com a predominância de hidrocarbonetos alifáticos ímpares, o que é um indicativo de fonte biológica da ocorrência dos hidrocarbonetos. Lagos e Lagoas também apresentaram </w:t>
      </w:r>
      <w:r w:rsidRPr="006C5C7E">
        <w:rPr>
          <w:rFonts w:cs="Arial"/>
          <w:szCs w:val="20"/>
        </w:rPr>
        <w:t xml:space="preserve">as maiores concentrações </w:t>
      </w:r>
      <w:r>
        <w:rPr>
          <w:rFonts w:cs="Arial"/>
          <w:szCs w:val="20"/>
        </w:rPr>
        <w:t>de hidrocarbonetos alifáticos</w:t>
      </w:r>
      <w:r w:rsidRPr="006C5C7E">
        <w:rPr>
          <w:rFonts w:cs="Arial"/>
          <w:szCs w:val="20"/>
        </w:rPr>
        <w:t xml:space="preserve"> em relação aos demais ambientes</w:t>
      </w:r>
      <w:r>
        <w:rPr>
          <w:rFonts w:cs="Arial"/>
          <w:szCs w:val="20"/>
        </w:rPr>
        <w:t>.</w:t>
      </w:r>
      <w:r>
        <w:br w:type="page"/>
      </w:r>
    </w:p>
    <w:p w14:paraId="2662C1F7" w14:textId="6F32167E" w:rsidR="00EC0C73" w:rsidRDefault="00EC0C73" w:rsidP="00EC0C73">
      <w:pPr>
        <w:pStyle w:val="Legenda"/>
        <w:keepNext/>
      </w:pPr>
      <w:bookmarkStart w:id="143" w:name="_Ref42076399"/>
      <w:bookmarkStart w:id="144" w:name="_Toc46992172"/>
      <w:r>
        <w:lastRenderedPageBreak/>
        <w:t xml:space="preserve">Figura </w:t>
      </w:r>
      <w:fldSimple w:instr=" SEQ Figura \* ARABIC ">
        <w:r w:rsidR="002C014F">
          <w:rPr>
            <w:noProof/>
          </w:rPr>
          <w:t>38</w:t>
        </w:r>
      </w:fldSimple>
      <w:bookmarkEnd w:id="143"/>
      <w:r>
        <w:t xml:space="preserve"> - Variabilidade das concentrações de hidrocarbonetos alifáticos de C9 a C23 nas 22 amostras de sedimento analisadas no período de transição (</w:t>
      </w:r>
      <w:proofErr w:type="spellStart"/>
      <w:r>
        <w:t>nov</w:t>
      </w:r>
      <w:proofErr w:type="spellEnd"/>
      <w:r>
        <w:t xml:space="preserve">/2019 a dez/2019) agrupadas em diferentes ambientes (Rio </w:t>
      </w:r>
      <w:proofErr w:type="spellStart"/>
      <w:r>
        <w:t>Guandú</w:t>
      </w:r>
      <w:proofErr w:type="spellEnd"/>
      <w:r>
        <w:t>, Rio Doce, Lagos e Lagoas).</w:t>
      </w:r>
      <w:bookmarkEnd w:id="144"/>
    </w:p>
    <w:p w14:paraId="35B7F134" w14:textId="77777777" w:rsidR="00EC0C73" w:rsidRDefault="00EC0C73" w:rsidP="00EC0C73">
      <w:pPr>
        <w:jc w:val="center"/>
      </w:pPr>
      <w:r w:rsidRPr="00AE082A">
        <w:rPr>
          <w:noProof/>
          <w:lang w:eastAsia="pt-BR"/>
        </w:rPr>
        <w:drawing>
          <wp:inline distT="0" distB="0" distL="0" distR="0" wp14:anchorId="2422931B" wp14:editId="5D723D36">
            <wp:extent cx="4377271" cy="7675278"/>
            <wp:effectExtent l="0" t="0" r="4445" b="1905"/>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379111" cy="7678504"/>
                    </a:xfrm>
                    <a:prstGeom prst="rect">
                      <a:avLst/>
                    </a:prstGeom>
                    <a:noFill/>
                    <a:ln>
                      <a:noFill/>
                    </a:ln>
                  </pic:spPr>
                </pic:pic>
              </a:graphicData>
            </a:graphic>
          </wp:inline>
        </w:drawing>
      </w:r>
    </w:p>
    <w:p w14:paraId="6CAD34E0" w14:textId="5F43A84D" w:rsidR="00EC0C73" w:rsidRDefault="00EC0C73" w:rsidP="00EC0C73">
      <w:pPr>
        <w:pStyle w:val="Legenda"/>
        <w:keepNext/>
      </w:pPr>
      <w:bookmarkStart w:id="145" w:name="_Ref42076450"/>
      <w:bookmarkStart w:id="146" w:name="_Toc46992173"/>
      <w:r>
        <w:lastRenderedPageBreak/>
        <w:t xml:space="preserve">Figura </w:t>
      </w:r>
      <w:fldSimple w:instr=" SEQ Figura \* ARABIC ">
        <w:r w:rsidR="002C014F">
          <w:rPr>
            <w:noProof/>
          </w:rPr>
          <w:t>39</w:t>
        </w:r>
      </w:fldSimple>
      <w:bookmarkEnd w:id="145"/>
      <w:r>
        <w:t xml:space="preserve"> - Variabilidade das concentrações de hidrocarbonetos alifáticos de C24 a C40 nas 22 amostras de água analisadas no período de transição (</w:t>
      </w:r>
      <w:proofErr w:type="spellStart"/>
      <w:r>
        <w:t>nov</w:t>
      </w:r>
      <w:proofErr w:type="spellEnd"/>
      <w:r>
        <w:t xml:space="preserve">/2019 a dez/2019) agrupadas em diferentes ambientes (Rio </w:t>
      </w:r>
      <w:proofErr w:type="spellStart"/>
      <w:r>
        <w:t>Guandú</w:t>
      </w:r>
      <w:proofErr w:type="spellEnd"/>
      <w:r>
        <w:t>, Rio Doce, Lagos e Lagoas).</w:t>
      </w:r>
      <w:bookmarkEnd w:id="146"/>
    </w:p>
    <w:p w14:paraId="4BD25F2C" w14:textId="77777777" w:rsidR="00EC0C73" w:rsidRDefault="00EC0C73" w:rsidP="00EC0C73">
      <w:pPr>
        <w:jc w:val="center"/>
        <w:rPr>
          <w:rFonts w:cs="Arial"/>
          <w:szCs w:val="20"/>
        </w:rPr>
      </w:pPr>
      <w:r w:rsidRPr="00AE082A">
        <w:rPr>
          <w:noProof/>
          <w:lang w:eastAsia="pt-BR"/>
        </w:rPr>
        <w:drawing>
          <wp:inline distT="0" distB="0" distL="0" distR="0" wp14:anchorId="02A33420" wp14:editId="4A134FD8">
            <wp:extent cx="3741894" cy="6567055"/>
            <wp:effectExtent l="0" t="0" r="0" b="571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744461" cy="6571561"/>
                    </a:xfrm>
                    <a:prstGeom prst="rect">
                      <a:avLst/>
                    </a:prstGeom>
                    <a:noFill/>
                    <a:ln>
                      <a:noFill/>
                    </a:ln>
                  </pic:spPr>
                </pic:pic>
              </a:graphicData>
            </a:graphic>
          </wp:inline>
        </w:drawing>
      </w:r>
    </w:p>
    <w:p w14:paraId="100F74C6" w14:textId="109F41E8" w:rsidR="00EC0C73" w:rsidRDefault="00EC0C73" w:rsidP="008308DE">
      <w:pPr>
        <w:ind w:firstLine="708"/>
        <w:rPr>
          <w:rFonts w:cs="Arial"/>
          <w:szCs w:val="20"/>
        </w:rPr>
      </w:pPr>
      <w:r>
        <w:rPr>
          <w:rFonts w:cs="Arial"/>
          <w:szCs w:val="20"/>
        </w:rPr>
        <w:t xml:space="preserve"> Não existe</w:t>
      </w:r>
      <w:r w:rsidRPr="00604D09">
        <w:rPr>
          <w:rFonts w:cs="Arial"/>
          <w:szCs w:val="20"/>
        </w:rPr>
        <w:t xml:space="preserve"> ainda </w:t>
      </w:r>
      <w:r>
        <w:rPr>
          <w:rFonts w:cs="Arial"/>
          <w:szCs w:val="20"/>
        </w:rPr>
        <w:t xml:space="preserve">uma </w:t>
      </w:r>
      <w:r w:rsidRPr="00604D09">
        <w:rPr>
          <w:rFonts w:cs="Arial"/>
          <w:szCs w:val="20"/>
        </w:rPr>
        <w:t xml:space="preserve">legislação que estabeleça os limites de concentração dos hidrocarbonetos alifáticos em </w:t>
      </w:r>
      <w:r>
        <w:rPr>
          <w:rFonts w:cs="Arial"/>
          <w:szCs w:val="20"/>
        </w:rPr>
        <w:t>sedimentos</w:t>
      </w:r>
      <w:r w:rsidRPr="00604D09">
        <w:rPr>
          <w:rFonts w:cs="Arial"/>
          <w:szCs w:val="20"/>
        </w:rPr>
        <w:t>.</w:t>
      </w:r>
      <w:r>
        <w:rPr>
          <w:rFonts w:cs="Arial"/>
          <w:szCs w:val="20"/>
        </w:rPr>
        <w:t xml:space="preserve"> Entretanto, o</w:t>
      </w:r>
      <w:r w:rsidRPr="00604D09">
        <w:rPr>
          <w:rFonts w:cs="Arial"/>
          <w:szCs w:val="20"/>
        </w:rPr>
        <w:t xml:space="preserve"> monitoramento desses compostos </w:t>
      </w:r>
      <w:r>
        <w:rPr>
          <w:rFonts w:cs="Arial"/>
          <w:szCs w:val="20"/>
        </w:rPr>
        <w:t>é</w:t>
      </w:r>
      <w:r w:rsidRPr="00604D09">
        <w:rPr>
          <w:rFonts w:cs="Arial"/>
          <w:szCs w:val="20"/>
        </w:rPr>
        <w:t xml:space="preserve"> </w:t>
      </w:r>
      <w:r>
        <w:rPr>
          <w:rFonts w:cs="Arial"/>
          <w:szCs w:val="20"/>
        </w:rPr>
        <w:t>importante</w:t>
      </w:r>
      <w:r w:rsidRPr="00604D09">
        <w:rPr>
          <w:rFonts w:cs="Arial"/>
          <w:szCs w:val="20"/>
        </w:rPr>
        <w:t>, visto que eles apresentam</w:t>
      </w:r>
      <w:r>
        <w:rPr>
          <w:rFonts w:cs="Arial"/>
          <w:szCs w:val="20"/>
        </w:rPr>
        <w:t xml:space="preserve"> </w:t>
      </w:r>
      <w:r w:rsidRPr="00604D09">
        <w:rPr>
          <w:rFonts w:cs="Arial"/>
          <w:szCs w:val="20"/>
        </w:rPr>
        <w:t>estabilidade química em água e sedimentos,</w:t>
      </w:r>
      <w:r>
        <w:rPr>
          <w:rFonts w:cs="Arial"/>
          <w:szCs w:val="20"/>
        </w:rPr>
        <w:t xml:space="preserve"> e podem</w:t>
      </w:r>
      <w:r w:rsidRPr="00604D09">
        <w:rPr>
          <w:rFonts w:cs="Arial"/>
          <w:szCs w:val="20"/>
        </w:rPr>
        <w:t xml:space="preserve"> </w:t>
      </w:r>
      <w:r>
        <w:rPr>
          <w:rFonts w:cs="Arial"/>
          <w:szCs w:val="20"/>
        </w:rPr>
        <w:t>ser</w:t>
      </w:r>
      <w:r w:rsidRPr="00604D09">
        <w:rPr>
          <w:rFonts w:cs="Arial"/>
          <w:szCs w:val="20"/>
        </w:rPr>
        <w:t xml:space="preserve"> utilizados como biomarcadores e indicadores de poluição de petróleo. </w:t>
      </w:r>
    </w:p>
    <w:p w14:paraId="53194D32" w14:textId="5C9C5326" w:rsidR="00EC0C73" w:rsidRPr="004F2736" w:rsidRDefault="00EC0C73" w:rsidP="004F2736">
      <w:pPr>
        <w:pStyle w:val="Ttulo3"/>
        <w:rPr>
          <w:rFonts w:cstheme="minorBidi"/>
          <w:szCs w:val="22"/>
        </w:rPr>
      </w:pPr>
      <w:r>
        <w:br w:type="page"/>
      </w:r>
      <w:bookmarkStart w:id="147" w:name="_Toc46992133"/>
      <w:r w:rsidRPr="005C730E">
        <w:lastRenderedPageBreak/>
        <w:t>Esteróis</w:t>
      </w:r>
      <w:bookmarkEnd w:id="147"/>
      <w:r w:rsidRPr="005C730E">
        <w:tab/>
      </w:r>
    </w:p>
    <w:p w14:paraId="0CB359FF" w14:textId="77777777" w:rsidR="00EC0C73" w:rsidRPr="00016451" w:rsidRDefault="00EC0C73" w:rsidP="00EC0C73">
      <w:pPr>
        <w:ind w:firstLine="708"/>
        <w:rPr>
          <w:rFonts w:cs="Arial"/>
          <w:szCs w:val="20"/>
        </w:rPr>
      </w:pPr>
      <w:r w:rsidRPr="00016451">
        <w:rPr>
          <w:rFonts w:cs="Arial"/>
          <w:szCs w:val="20"/>
        </w:rPr>
        <w:t>Analis</w:t>
      </w:r>
      <w:r>
        <w:rPr>
          <w:rFonts w:cs="Arial"/>
          <w:szCs w:val="20"/>
        </w:rPr>
        <w:t>aram</w:t>
      </w:r>
      <w:r w:rsidRPr="00016451">
        <w:rPr>
          <w:rFonts w:cs="Arial"/>
          <w:szCs w:val="20"/>
        </w:rPr>
        <w:t xml:space="preserve">-se as amostras de água até a </w:t>
      </w:r>
      <w:r>
        <w:rPr>
          <w:rFonts w:cs="Arial"/>
          <w:szCs w:val="20"/>
        </w:rPr>
        <w:t>14</w:t>
      </w:r>
      <w:r w:rsidRPr="005C730E">
        <w:rPr>
          <w:rFonts w:cs="Arial"/>
          <w:szCs w:val="20"/>
          <w:vertAlign w:val="superscript"/>
        </w:rPr>
        <w:t>a</w:t>
      </w:r>
      <w:r w:rsidRPr="00016451">
        <w:rPr>
          <w:rFonts w:cs="Arial"/>
          <w:szCs w:val="20"/>
        </w:rPr>
        <w:t xml:space="preserve"> campanha, totalizando </w:t>
      </w:r>
      <w:r>
        <w:rPr>
          <w:rFonts w:cs="Arial"/>
          <w:szCs w:val="20"/>
        </w:rPr>
        <w:t>193</w:t>
      </w:r>
      <w:r w:rsidRPr="00016451">
        <w:rPr>
          <w:rFonts w:cs="Arial"/>
          <w:szCs w:val="20"/>
        </w:rPr>
        <w:t xml:space="preserve"> amostras, das quais 68 são do ano de transição, conforme a metodologia de determinação </w:t>
      </w:r>
      <w:r>
        <w:rPr>
          <w:rFonts w:cs="Arial"/>
          <w:szCs w:val="20"/>
        </w:rPr>
        <w:t>para</w:t>
      </w:r>
      <w:r w:rsidRPr="00016451">
        <w:rPr>
          <w:rFonts w:cs="Arial"/>
          <w:szCs w:val="20"/>
        </w:rPr>
        <w:t xml:space="preserve"> esteróis</w:t>
      </w:r>
      <w:r>
        <w:rPr>
          <w:rFonts w:cs="Arial"/>
          <w:szCs w:val="20"/>
        </w:rPr>
        <w:t>,</w:t>
      </w:r>
      <w:r w:rsidRPr="00016451">
        <w:rPr>
          <w:rFonts w:cs="Arial"/>
          <w:szCs w:val="20"/>
        </w:rPr>
        <w:t xml:space="preserve"> proposta no Ano 1. Além dos esteróis avaliados no ano 1, determinou-se o </w:t>
      </w:r>
      <w:r>
        <w:rPr>
          <w:rFonts w:cs="Arial"/>
          <w:szCs w:val="20"/>
        </w:rPr>
        <w:t xml:space="preserve">teor de </w:t>
      </w:r>
      <w:r w:rsidRPr="00016451">
        <w:rPr>
          <w:rFonts w:cs="Arial"/>
          <w:szCs w:val="20"/>
        </w:rPr>
        <w:t>Colesterol, que não tinha sido avaliado anteriormente devido a falta do</w:t>
      </w:r>
      <w:r>
        <w:rPr>
          <w:rFonts w:cs="Arial"/>
          <w:szCs w:val="20"/>
        </w:rPr>
        <w:t xml:space="preserve"> seu</w:t>
      </w:r>
      <w:r w:rsidRPr="00016451">
        <w:rPr>
          <w:rFonts w:cs="Arial"/>
          <w:szCs w:val="20"/>
        </w:rPr>
        <w:t xml:space="preserve"> padrão. </w:t>
      </w:r>
    </w:p>
    <w:p w14:paraId="57905584" w14:textId="761E93FB" w:rsidR="00EC0C73" w:rsidRPr="00016451" w:rsidRDefault="00EC0C73" w:rsidP="00EC0C73">
      <w:pPr>
        <w:rPr>
          <w:rFonts w:cs="Arial"/>
          <w:szCs w:val="20"/>
        </w:rPr>
      </w:pPr>
      <w:r w:rsidRPr="00016451">
        <w:rPr>
          <w:rFonts w:cs="Arial"/>
          <w:szCs w:val="20"/>
        </w:rPr>
        <w:tab/>
        <w:t xml:space="preserve">A </w:t>
      </w:r>
      <w:r w:rsidR="00F302E9">
        <w:rPr>
          <w:rFonts w:cs="Arial"/>
          <w:color w:val="FF0000"/>
          <w:szCs w:val="20"/>
        </w:rPr>
        <w:fldChar w:fldCharType="begin"/>
      </w:r>
      <w:r w:rsidR="00F302E9">
        <w:rPr>
          <w:rFonts w:cs="Arial"/>
          <w:szCs w:val="20"/>
        </w:rPr>
        <w:instrText xml:space="preserve"> REF _Ref42076486 \h </w:instrText>
      </w:r>
      <w:r w:rsidR="00F302E9">
        <w:rPr>
          <w:rFonts w:cs="Arial"/>
          <w:color w:val="FF0000"/>
          <w:szCs w:val="20"/>
        </w:rPr>
      </w:r>
      <w:r w:rsidR="00F302E9">
        <w:rPr>
          <w:rFonts w:cs="Arial"/>
          <w:color w:val="FF0000"/>
          <w:szCs w:val="20"/>
        </w:rPr>
        <w:fldChar w:fldCharType="separate"/>
      </w:r>
      <w:r w:rsidR="002C014F">
        <w:t xml:space="preserve">Figura </w:t>
      </w:r>
      <w:r w:rsidR="002C014F">
        <w:rPr>
          <w:noProof/>
        </w:rPr>
        <w:t>40</w:t>
      </w:r>
      <w:r w:rsidR="00F302E9">
        <w:rPr>
          <w:rFonts w:cs="Arial"/>
          <w:color w:val="FF0000"/>
          <w:szCs w:val="20"/>
        </w:rPr>
        <w:fldChar w:fldCharType="end"/>
      </w:r>
      <w:r w:rsidR="00F302E9">
        <w:rPr>
          <w:rFonts w:cs="Arial"/>
          <w:color w:val="FF0000"/>
          <w:szCs w:val="20"/>
        </w:rPr>
        <w:t xml:space="preserve"> </w:t>
      </w:r>
      <w:r w:rsidRPr="00016451">
        <w:rPr>
          <w:rFonts w:cs="Arial"/>
          <w:szCs w:val="20"/>
        </w:rPr>
        <w:t xml:space="preserve">apresenta o gráfico </w:t>
      </w:r>
      <w:r>
        <w:rPr>
          <w:rFonts w:cs="Arial"/>
          <w:szCs w:val="20"/>
        </w:rPr>
        <w:t>do tipo</w:t>
      </w:r>
      <w:r w:rsidRPr="00016451">
        <w:rPr>
          <w:rFonts w:cs="Arial"/>
          <w:szCs w:val="20"/>
        </w:rPr>
        <w:t xml:space="preserve"> box-</w:t>
      </w:r>
      <w:proofErr w:type="spellStart"/>
      <w:r w:rsidRPr="00016451">
        <w:rPr>
          <w:rFonts w:cs="Arial"/>
          <w:szCs w:val="20"/>
        </w:rPr>
        <w:t>plot</w:t>
      </w:r>
      <w:proofErr w:type="spellEnd"/>
      <w:r w:rsidRPr="00016451">
        <w:rPr>
          <w:rFonts w:cs="Arial"/>
          <w:szCs w:val="20"/>
        </w:rPr>
        <w:t xml:space="preserve"> para os esteróis totais (somatória dos 12 esteróis analisados) em </w:t>
      </w:r>
      <w:r>
        <w:rPr>
          <w:rFonts w:cs="Arial"/>
          <w:szCs w:val="20"/>
        </w:rPr>
        <w:t xml:space="preserve">sedimentos, </w:t>
      </w:r>
      <w:r w:rsidRPr="00016451">
        <w:rPr>
          <w:rFonts w:cs="Arial"/>
          <w:szCs w:val="20"/>
        </w:rPr>
        <w:t>nos diferentes ambientes</w:t>
      </w:r>
      <w:r>
        <w:rPr>
          <w:rFonts w:cs="Arial"/>
          <w:szCs w:val="20"/>
        </w:rPr>
        <w:t>,</w:t>
      </w:r>
      <w:r w:rsidRPr="00016451">
        <w:rPr>
          <w:rFonts w:cs="Arial"/>
          <w:szCs w:val="20"/>
        </w:rPr>
        <w:t xml:space="preserve"> ao longo dos três períodos. Percebe-se que houve </w:t>
      </w:r>
      <w:r w:rsidRPr="006C5B23">
        <w:rPr>
          <w:rFonts w:cs="Arial"/>
          <w:szCs w:val="20"/>
        </w:rPr>
        <w:t xml:space="preserve">uma redução </w:t>
      </w:r>
      <w:r w:rsidRPr="00016451">
        <w:rPr>
          <w:rFonts w:cs="Arial"/>
          <w:szCs w:val="20"/>
        </w:rPr>
        <w:t>significativ</w:t>
      </w:r>
      <w:r>
        <w:rPr>
          <w:rFonts w:cs="Arial"/>
          <w:szCs w:val="20"/>
        </w:rPr>
        <w:t>a</w:t>
      </w:r>
      <w:r w:rsidRPr="00016451">
        <w:rPr>
          <w:rFonts w:cs="Arial"/>
          <w:szCs w:val="20"/>
        </w:rPr>
        <w:t xml:space="preserve"> das concentrações de esteróis </w:t>
      </w:r>
      <w:r>
        <w:rPr>
          <w:rFonts w:cs="Arial"/>
          <w:szCs w:val="20"/>
        </w:rPr>
        <w:t xml:space="preserve">nos sedimentos </w:t>
      </w:r>
      <w:r w:rsidRPr="00016451">
        <w:rPr>
          <w:rFonts w:cs="Arial"/>
          <w:szCs w:val="20"/>
        </w:rPr>
        <w:t>na estação chuvosa</w:t>
      </w:r>
      <w:r>
        <w:rPr>
          <w:rFonts w:cs="Arial"/>
          <w:szCs w:val="20"/>
        </w:rPr>
        <w:t xml:space="preserve"> do período de transição</w:t>
      </w:r>
      <w:r w:rsidRPr="00016451">
        <w:rPr>
          <w:rFonts w:cs="Arial"/>
          <w:szCs w:val="20"/>
        </w:rPr>
        <w:t xml:space="preserve">. Isto se deve à </w:t>
      </w:r>
      <w:r>
        <w:rPr>
          <w:rFonts w:cs="Arial"/>
          <w:szCs w:val="20"/>
        </w:rPr>
        <w:t xml:space="preserve">provável lixiviação dos esteróis pelo revolvimento dos sedimentos com a chuva, o que pode ter causado grande solubilização e aumento dos teores dos esteróis em água, conforme dados da </w:t>
      </w:r>
      <w:r w:rsidR="00F302E9">
        <w:rPr>
          <w:rFonts w:cs="Arial"/>
          <w:szCs w:val="20"/>
        </w:rPr>
        <w:fldChar w:fldCharType="begin"/>
      </w:r>
      <w:r w:rsidR="00F302E9">
        <w:rPr>
          <w:rFonts w:cs="Arial"/>
          <w:szCs w:val="20"/>
        </w:rPr>
        <w:instrText xml:space="preserve"> REF _Ref42075546 \h </w:instrText>
      </w:r>
      <w:r w:rsidR="00F302E9">
        <w:rPr>
          <w:rFonts w:cs="Arial"/>
          <w:szCs w:val="20"/>
        </w:rPr>
      </w:r>
      <w:r w:rsidR="00F302E9">
        <w:rPr>
          <w:rFonts w:cs="Arial"/>
          <w:szCs w:val="20"/>
        </w:rPr>
        <w:fldChar w:fldCharType="separate"/>
      </w:r>
      <w:r w:rsidR="002C014F">
        <w:t xml:space="preserve">Figura </w:t>
      </w:r>
      <w:r w:rsidR="002C014F">
        <w:rPr>
          <w:noProof/>
        </w:rPr>
        <w:t>21</w:t>
      </w:r>
      <w:r w:rsidR="00F302E9">
        <w:rPr>
          <w:rFonts w:cs="Arial"/>
          <w:szCs w:val="20"/>
        </w:rPr>
        <w:fldChar w:fldCharType="end"/>
      </w:r>
      <w:r w:rsidRPr="00016451">
        <w:rPr>
          <w:rFonts w:cs="Arial"/>
          <w:szCs w:val="20"/>
        </w:rPr>
        <w:t>.</w:t>
      </w:r>
    </w:p>
    <w:p w14:paraId="572D868A" w14:textId="6591B74D" w:rsidR="00EC0C73" w:rsidRDefault="00EC0C73" w:rsidP="00EC0C73">
      <w:pPr>
        <w:pStyle w:val="Legenda"/>
        <w:keepNext/>
        <w:rPr>
          <w:noProof/>
          <w:lang w:eastAsia="pt-BR"/>
        </w:rPr>
      </w:pPr>
      <w:bookmarkStart w:id="148" w:name="_Ref42076486"/>
      <w:bookmarkStart w:id="149" w:name="_Toc46992174"/>
      <w:r>
        <w:t xml:space="preserve">Figura </w:t>
      </w:r>
      <w:fldSimple w:instr=" SEQ Figura \* ARABIC ">
        <w:r w:rsidR="002C014F">
          <w:rPr>
            <w:noProof/>
          </w:rPr>
          <w:t>40</w:t>
        </w:r>
      </w:fldSimple>
      <w:bookmarkEnd w:id="148"/>
      <w:r>
        <w:t xml:space="preserve"> - </w:t>
      </w:r>
      <w:r w:rsidRPr="000C2FC7">
        <w:t xml:space="preserve">Variabilidade das concentrações de diferentes </w:t>
      </w:r>
      <w:r>
        <w:t xml:space="preserve">esteróis nas 163 amostras de sedimentos analisadas das 12 estações de coleta, agrupadas por nos ambientes Rio Guandu, Rio Doce, Lagos e Lagoas ao longo dos períodos out/18 a </w:t>
      </w:r>
      <w:r>
        <w:lastRenderedPageBreak/>
        <w:t xml:space="preserve">mar/2019 (período chuvoso- ANO 1), </w:t>
      </w:r>
      <w:proofErr w:type="spellStart"/>
      <w:r>
        <w:t>abr</w:t>
      </w:r>
      <w:proofErr w:type="spellEnd"/>
      <w:r>
        <w:t xml:space="preserve">/19 a set/2019 (período de estiagem- ANO 1) e </w:t>
      </w:r>
      <w:proofErr w:type="spellStart"/>
      <w:r>
        <w:t>nov</w:t>
      </w:r>
      <w:proofErr w:type="spellEnd"/>
      <w:r>
        <w:t>/19 a dez/2019 (período chuvoso- ANO de transição).</w:t>
      </w:r>
      <w:bookmarkEnd w:id="149"/>
      <w:r w:rsidRPr="00525022">
        <w:rPr>
          <w:noProof/>
          <w:lang w:eastAsia="pt-BR"/>
        </w:rPr>
        <w:t xml:space="preserve"> </w:t>
      </w:r>
    </w:p>
    <w:p w14:paraId="088F30F5" w14:textId="77777777" w:rsidR="00EC0C73" w:rsidRPr="006A6598" w:rsidRDefault="00EC0C73" w:rsidP="00EC0C73">
      <w:pPr>
        <w:jc w:val="center"/>
        <w:rPr>
          <w:lang w:eastAsia="pt-BR"/>
        </w:rPr>
      </w:pPr>
      <w:r w:rsidRPr="009E3644">
        <w:rPr>
          <w:noProof/>
          <w:lang w:eastAsia="pt-BR"/>
        </w:rPr>
        <w:drawing>
          <wp:inline distT="0" distB="0" distL="0" distR="0" wp14:anchorId="61EAEF5B" wp14:editId="0CED5765">
            <wp:extent cx="4044872" cy="7807635"/>
            <wp:effectExtent l="0" t="0" r="0" b="3175"/>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050613" cy="7818716"/>
                    </a:xfrm>
                    <a:prstGeom prst="rect">
                      <a:avLst/>
                    </a:prstGeom>
                    <a:noFill/>
                    <a:ln>
                      <a:noFill/>
                    </a:ln>
                  </pic:spPr>
                </pic:pic>
              </a:graphicData>
            </a:graphic>
          </wp:inline>
        </w:drawing>
      </w:r>
    </w:p>
    <w:p w14:paraId="0E780BB5" w14:textId="63D18A15" w:rsidR="00EC0C73" w:rsidRDefault="00EC0C73" w:rsidP="00EC0C73">
      <w:pPr>
        <w:ind w:firstLine="708"/>
        <w:rPr>
          <w:rFonts w:cs="Arial"/>
          <w:szCs w:val="20"/>
        </w:rPr>
      </w:pPr>
      <w:r>
        <w:rPr>
          <w:rFonts w:cs="Arial"/>
          <w:szCs w:val="20"/>
        </w:rPr>
        <w:lastRenderedPageBreak/>
        <w:t>Verificou-se</w:t>
      </w:r>
      <w:r w:rsidRPr="00E87093">
        <w:rPr>
          <w:rFonts w:cs="Arial"/>
          <w:szCs w:val="20"/>
        </w:rPr>
        <w:t xml:space="preserve">, por meio da </w:t>
      </w:r>
      <w:r w:rsidR="00F302E9">
        <w:rPr>
          <w:rFonts w:cs="Arial"/>
          <w:color w:val="FF0000"/>
          <w:szCs w:val="20"/>
        </w:rPr>
        <w:fldChar w:fldCharType="begin"/>
      </w:r>
      <w:r w:rsidR="00F302E9">
        <w:rPr>
          <w:rFonts w:cs="Arial"/>
          <w:szCs w:val="20"/>
        </w:rPr>
        <w:instrText xml:space="preserve"> REF _Ref42076569 \h </w:instrText>
      </w:r>
      <w:r w:rsidR="00F302E9">
        <w:rPr>
          <w:rFonts w:cs="Arial"/>
          <w:color w:val="FF0000"/>
          <w:szCs w:val="20"/>
        </w:rPr>
      </w:r>
      <w:r w:rsidR="00F302E9">
        <w:rPr>
          <w:rFonts w:cs="Arial"/>
          <w:color w:val="FF0000"/>
          <w:szCs w:val="20"/>
        </w:rPr>
        <w:fldChar w:fldCharType="separate"/>
      </w:r>
      <w:r w:rsidR="002C014F">
        <w:t xml:space="preserve">Figura </w:t>
      </w:r>
      <w:r w:rsidR="002C014F">
        <w:rPr>
          <w:noProof/>
        </w:rPr>
        <w:t>41</w:t>
      </w:r>
      <w:r w:rsidR="00F302E9">
        <w:rPr>
          <w:rFonts w:cs="Arial"/>
          <w:color w:val="FF0000"/>
          <w:szCs w:val="20"/>
        </w:rPr>
        <w:fldChar w:fldCharType="end"/>
      </w:r>
      <w:r w:rsidRPr="00E87093">
        <w:rPr>
          <w:rFonts w:cs="Arial"/>
          <w:szCs w:val="20"/>
        </w:rPr>
        <w:t xml:space="preserve">, </w:t>
      </w:r>
      <w:r>
        <w:rPr>
          <w:rFonts w:cs="Arial"/>
          <w:szCs w:val="20"/>
        </w:rPr>
        <w:t xml:space="preserve">que no ano de transição a presença do </w:t>
      </w:r>
      <w:proofErr w:type="spellStart"/>
      <w:r w:rsidRPr="002E247B">
        <w:rPr>
          <w:rFonts w:cs="Arial"/>
          <w:szCs w:val="20"/>
        </w:rPr>
        <w:t>coprostanol</w:t>
      </w:r>
      <w:proofErr w:type="spellEnd"/>
      <w:r w:rsidRPr="002E247B">
        <w:rPr>
          <w:rFonts w:cs="Arial"/>
          <w:szCs w:val="20"/>
        </w:rPr>
        <w:t xml:space="preserve"> (5β-Cholestan-3β-</w:t>
      </w:r>
      <w:proofErr w:type="spellStart"/>
      <w:r w:rsidRPr="002E247B">
        <w:rPr>
          <w:rFonts w:cs="Arial"/>
          <w:szCs w:val="20"/>
        </w:rPr>
        <w:t>ol</w:t>
      </w:r>
      <w:proofErr w:type="spellEnd"/>
      <w:r w:rsidRPr="002E247B">
        <w:rPr>
          <w:rFonts w:cs="Arial"/>
          <w:szCs w:val="20"/>
        </w:rPr>
        <w:t>), epicoprostanol (5β-Cholestan-3β-</w:t>
      </w:r>
      <w:proofErr w:type="spellStart"/>
      <w:r w:rsidRPr="002E247B">
        <w:rPr>
          <w:rFonts w:cs="Arial"/>
          <w:szCs w:val="20"/>
        </w:rPr>
        <w:t>ol</w:t>
      </w:r>
      <w:proofErr w:type="spellEnd"/>
      <w:r w:rsidRPr="002E247B">
        <w:rPr>
          <w:rFonts w:cs="Arial"/>
          <w:szCs w:val="20"/>
        </w:rPr>
        <w:t xml:space="preserve">) e </w:t>
      </w:r>
      <w:proofErr w:type="spellStart"/>
      <w:r w:rsidRPr="002E247B">
        <w:rPr>
          <w:rFonts w:cs="Arial"/>
          <w:szCs w:val="20"/>
        </w:rPr>
        <w:t>coprostanona</w:t>
      </w:r>
      <w:proofErr w:type="spellEnd"/>
      <w:r w:rsidRPr="002E247B">
        <w:rPr>
          <w:rFonts w:cs="Arial"/>
          <w:szCs w:val="20"/>
        </w:rPr>
        <w:t xml:space="preserve"> (5β-Cholestan-3-one)</w:t>
      </w:r>
      <w:r>
        <w:rPr>
          <w:rFonts w:cs="Arial"/>
          <w:szCs w:val="20"/>
        </w:rPr>
        <w:t xml:space="preserve"> é encontrada em todos os ambientes, mostrando que todos são influenciados pelas contaminação doméstica. Sendo encontrados com maiores concentrações no sedimento de Lagos e Lagoas. </w:t>
      </w:r>
    </w:p>
    <w:p w14:paraId="2E65D408" w14:textId="77777777" w:rsidR="00EC0C73" w:rsidRDefault="00EC0C73" w:rsidP="00EC0C73">
      <w:pPr>
        <w:ind w:firstLine="708"/>
        <w:rPr>
          <w:rFonts w:cs="Arial"/>
          <w:szCs w:val="20"/>
        </w:rPr>
      </w:pPr>
      <w:r>
        <w:rPr>
          <w:rFonts w:cs="Arial"/>
          <w:szCs w:val="20"/>
        </w:rPr>
        <w:t>A</w:t>
      </w:r>
      <w:r w:rsidRPr="00E87093">
        <w:rPr>
          <w:rFonts w:cs="Arial"/>
          <w:szCs w:val="20"/>
        </w:rPr>
        <w:t xml:space="preserve"> distribuição de esteróis</w:t>
      </w:r>
      <w:r>
        <w:rPr>
          <w:rFonts w:cs="Arial"/>
          <w:szCs w:val="20"/>
        </w:rPr>
        <w:t xml:space="preserve">, no ano de transição, apresentou-se ligeiramente diferente entre os ambientes. Houve a ocorrência de todos os esteróis com maiores concentrações e variabilidade para Lagos e Lagoas. </w:t>
      </w:r>
    </w:p>
    <w:p w14:paraId="1383F001" w14:textId="77777777" w:rsidR="00EC0C73" w:rsidRDefault="00EC0C73" w:rsidP="00EC0C73">
      <w:pPr>
        <w:ind w:firstLine="708"/>
        <w:rPr>
          <w:rFonts w:cs="Arial"/>
          <w:szCs w:val="20"/>
        </w:rPr>
      </w:pPr>
      <w:r>
        <w:rPr>
          <w:rFonts w:cs="Arial"/>
          <w:szCs w:val="20"/>
        </w:rPr>
        <w:t xml:space="preserve">Rio Guandu e Rio Doce apresentaram as maiores concentrações, respectivamente, para os esteróis: </w:t>
      </w:r>
      <w:r w:rsidRPr="00E87093">
        <w:rPr>
          <w:rFonts w:cs="Arial"/>
          <w:szCs w:val="20"/>
        </w:rPr>
        <w:t>Ergosterol</w:t>
      </w:r>
      <w:r>
        <w:rPr>
          <w:rFonts w:cs="Arial"/>
          <w:szCs w:val="20"/>
        </w:rPr>
        <w:t xml:space="preserve"> (de origem fúngica)</w:t>
      </w:r>
      <w:r w:rsidRPr="00E87093">
        <w:rPr>
          <w:rFonts w:cs="Arial"/>
          <w:szCs w:val="20"/>
        </w:rPr>
        <w:t>, Estigmasterol</w:t>
      </w:r>
      <w:r>
        <w:rPr>
          <w:rFonts w:cs="Arial"/>
          <w:szCs w:val="20"/>
        </w:rPr>
        <w:t xml:space="preserve"> (origem vegetal)</w:t>
      </w:r>
      <w:r w:rsidRPr="00E87093">
        <w:rPr>
          <w:rFonts w:cs="Arial"/>
          <w:szCs w:val="20"/>
        </w:rPr>
        <w:t>, Demosterol</w:t>
      </w:r>
      <w:r>
        <w:rPr>
          <w:rFonts w:cs="Arial"/>
          <w:szCs w:val="20"/>
        </w:rPr>
        <w:t xml:space="preserve"> (precursor do colesterol). Lagos apresentaram as maiores concentrações, respectivamente,</w:t>
      </w:r>
      <w:r w:rsidRPr="00077E20">
        <w:rPr>
          <w:rFonts w:cs="Arial"/>
          <w:szCs w:val="20"/>
        </w:rPr>
        <w:t xml:space="preserve"> </w:t>
      </w:r>
      <w:r>
        <w:rPr>
          <w:rFonts w:cs="Arial"/>
          <w:szCs w:val="20"/>
        </w:rPr>
        <w:t xml:space="preserve">para: </w:t>
      </w:r>
      <w:r w:rsidRPr="00E87093">
        <w:rPr>
          <w:rFonts w:cs="Arial"/>
          <w:szCs w:val="20"/>
        </w:rPr>
        <w:t>Demosterol</w:t>
      </w:r>
      <w:r>
        <w:rPr>
          <w:rFonts w:cs="Arial"/>
          <w:szCs w:val="20"/>
        </w:rPr>
        <w:t xml:space="preserve"> (precursor do colesterol), </w:t>
      </w:r>
      <w:r w:rsidRPr="00E87093">
        <w:rPr>
          <w:rFonts w:eastAsia="Times New Roman" w:cs="Arial"/>
          <w:szCs w:val="20"/>
          <w:lang w:eastAsia="pt-BR"/>
        </w:rPr>
        <w:t>3Β-Taraxerol</w:t>
      </w:r>
      <w:r>
        <w:rPr>
          <w:rFonts w:eastAsia="Times New Roman" w:cs="Arial"/>
          <w:szCs w:val="20"/>
          <w:lang w:eastAsia="pt-BR"/>
        </w:rPr>
        <w:t xml:space="preserve"> (origem vegetal), </w:t>
      </w:r>
      <w:r>
        <w:rPr>
          <w:rFonts w:cs="Arial"/>
          <w:szCs w:val="20"/>
        </w:rPr>
        <w:t>5β-Cholestan-3β-</w:t>
      </w:r>
      <w:proofErr w:type="spellStart"/>
      <w:r>
        <w:rPr>
          <w:rFonts w:cs="Arial"/>
          <w:szCs w:val="20"/>
        </w:rPr>
        <w:t>ol</w:t>
      </w:r>
      <w:proofErr w:type="spellEnd"/>
      <w:r>
        <w:rPr>
          <w:rFonts w:cs="Arial"/>
          <w:szCs w:val="20"/>
        </w:rPr>
        <w:t xml:space="preserve"> (origem fecal), 5α-Colestan-3β-</w:t>
      </w:r>
      <w:proofErr w:type="spellStart"/>
      <w:r>
        <w:rPr>
          <w:rFonts w:cs="Arial"/>
          <w:szCs w:val="20"/>
        </w:rPr>
        <w:t>ol</w:t>
      </w:r>
      <w:proofErr w:type="spellEnd"/>
      <w:r>
        <w:rPr>
          <w:rFonts w:cs="Arial"/>
          <w:szCs w:val="20"/>
        </w:rPr>
        <w:t xml:space="preserve"> (</w:t>
      </w:r>
      <w:r w:rsidRPr="00E87093">
        <w:rPr>
          <w:rFonts w:cs="Arial"/>
          <w:szCs w:val="20"/>
        </w:rPr>
        <w:t xml:space="preserve">derivado da </w:t>
      </w:r>
      <w:proofErr w:type="spellStart"/>
      <w:r w:rsidRPr="00E87093">
        <w:rPr>
          <w:rFonts w:cs="Arial"/>
          <w:szCs w:val="20"/>
        </w:rPr>
        <w:t>biohidrogenação</w:t>
      </w:r>
      <w:proofErr w:type="spellEnd"/>
      <w:r w:rsidRPr="00E87093">
        <w:rPr>
          <w:rFonts w:cs="Arial"/>
          <w:szCs w:val="20"/>
        </w:rPr>
        <w:t xml:space="preserve"> do colesterol</w:t>
      </w:r>
      <w:r>
        <w:rPr>
          <w:rFonts w:cs="Arial"/>
          <w:szCs w:val="20"/>
        </w:rPr>
        <w:t>)</w:t>
      </w:r>
      <w:r w:rsidRPr="00E87093">
        <w:rPr>
          <w:rFonts w:cs="Arial"/>
          <w:szCs w:val="20"/>
        </w:rPr>
        <w:t>.</w:t>
      </w:r>
      <w:r>
        <w:rPr>
          <w:rFonts w:cs="Arial"/>
          <w:szCs w:val="20"/>
        </w:rPr>
        <w:t xml:space="preserve"> E Lagoas apresentaram as maiores concentrações, respectivamente, para os compostos: </w:t>
      </w:r>
      <w:r w:rsidRPr="00E87093">
        <w:rPr>
          <w:rFonts w:eastAsia="Times New Roman" w:cs="Arial"/>
          <w:szCs w:val="20"/>
          <w:lang w:eastAsia="pt-BR"/>
        </w:rPr>
        <w:t>3Β-Taraxerol</w:t>
      </w:r>
      <w:r>
        <w:rPr>
          <w:rFonts w:eastAsia="Times New Roman" w:cs="Arial"/>
          <w:szCs w:val="20"/>
          <w:lang w:eastAsia="pt-BR"/>
        </w:rPr>
        <w:t xml:space="preserve"> (origem vegetal), </w:t>
      </w:r>
      <w:r>
        <w:rPr>
          <w:rFonts w:cs="Arial"/>
          <w:szCs w:val="20"/>
        </w:rPr>
        <w:t>5β-Cholestan-3β-</w:t>
      </w:r>
      <w:proofErr w:type="spellStart"/>
      <w:r>
        <w:rPr>
          <w:rFonts w:cs="Arial"/>
          <w:szCs w:val="20"/>
        </w:rPr>
        <w:t>ol</w:t>
      </w:r>
      <w:proofErr w:type="spellEnd"/>
      <w:r>
        <w:rPr>
          <w:rFonts w:cs="Arial"/>
          <w:szCs w:val="20"/>
        </w:rPr>
        <w:t xml:space="preserve"> (origem fecal), 5α-Colestan-3β-</w:t>
      </w:r>
      <w:proofErr w:type="spellStart"/>
      <w:r>
        <w:rPr>
          <w:rFonts w:cs="Arial"/>
          <w:szCs w:val="20"/>
        </w:rPr>
        <w:t>ol</w:t>
      </w:r>
      <w:proofErr w:type="spellEnd"/>
      <w:r>
        <w:rPr>
          <w:rFonts w:cs="Arial"/>
          <w:szCs w:val="20"/>
        </w:rPr>
        <w:t xml:space="preserve"> (</w:t>
      </w:r>
      <w:r w:rsidRPr="00E87093">
        <w:rPr>
          <w:rFonts w:cs="Arial"/>
          <w:szCs w:val="20"/>
        </w:rPr>
        <w:t xml:space="preserve">derivado da </w:t>
      </w:r>
      <w:proofErr w:type="spellStart"/>
      <w:r w:rsidRPr="00E87093">
        <w:rPr>
          <w:rFonts w:cs="Arial"/>
          <w:szCs w:val="20"/>
        </w:rPr>
        <w:t>biohidrogenação</w:t>
      </w:r>
      <w:proofErr w:type="spellEnd"/>
      <w:r w:rsidRPr="00E87093">
        <w:rPr>
          <w:rFonts w:cs="Arial"/>
          <w:szCs w:val="20"/>
        </w:rPr>
        <w:t xml:space="preserve"> do colesterol</w:t>
      </w:r>
      <w:r>
        <w:rPr>
          <w:rFonts w:cs="Arial"/>
          <w:szCs w:val="20"/>
        </w:rPr>
        <w:t>)</w:t>
      </w:r>
      <w:r w:rsidRPr="00E87093">
        <w:rPr>
          <w:rFonts w:cs="Arial"/>
          <w:szCs w:val="20"/>
        </w:rPr>
        <w:t>.</w:t>
      </w:r>
      <w:r>
        <w:rPr>
          <w:rFonts w:cs="Arial"/>
          <w:szCs w:val="20"/>
        </w:rPr>
        <w:t xml:space="preserve">  </w:t>
      </w:r>
    </w:p>
    <w:p w14:paraId="479B1993" w14:textId="52F5CF40" w:rsidR="00EC0C73" w:rsidRDefault="00EC0C73" w:rsidP="00EC0C73">
      <w:pPr>
        <w:pStyle w:val="Legenda"/>
        <w:keepNext/>
      </w:pPr>
      <w:bookmarkStart w:id="150" w:name="_Ref42076569"/>
      <w:bookmarkStart w:id="151" w:name="_Toc46992175"/>
      <w:r>
        <w:lastRenderedPageBreak/>
        <w:t xml:space="preserve">Figura </w:t>
      </w:r>
      <w:fldSimple w:instr=" SEQ Figura \* ARABIC ">
        <w:r w:rsidR="002C014F">
          <w:rPr>
            <w:noProof/>
          </w:rPr>
          <w:t>41</w:t>
        </w:r>
      </w:fldSimple>
      <w:bookmarkEnd w:id="150"/>
      <w:r>
        <w:t xml:space="preserve"> - Variabilidade das concentrações de diferentes esteróis nas 22 amostras de sedimento analisadas no período de transição (</w:t>
      </w:r>
      <w:proofErr w:type="spellStart"/>
      <w:r>
        <w:t>nov</w:t>
      </w:r>
      <w:proofErr w:type="spellEnd"/>
      <w:r>
        <w:t xml:space="preserve">/2019 a dez/2019) em diferentes ambientes (Rio </w:t>
      </w:r>
      <w:proofErr w:type="spellStart"/>
      <w:r>
        <w:t>Guandú</w:t>
      </w:r>
      <w:proofErr w:type="spellEnd"/>
      <w:r>
        <w:t>, Rio Doce, Lagos e Lagoas).</w:t>
      </w:r>
      <w:bookmarkEnd w:id="151"/>
    </w:p>
    <w:p w14:paraId="3AD33867" w14:textId="43B8E59C" w:rsidR="00851EED" w:rsidRDefault="00EC0C73" w:rsidP="00851EED">
      <w:pPr>
        <w:jc w:val="center"/>
      </w:pPr>
      <w:r w:rsidRPr="009E3644">
        <w:rPr>
          <w:noProof/>
          <w:lang w:eastAsia="pt-BR"/>
        </w:rPr>
        <w:drawing>
          <wp:inline distT="0" distB="0" distL="0" distR="0" wp14:anchorId="083E6F4C" wp14:editId="5E407386">
            <wp:extent cx="4242279" cy="6909683"/>
            <wp:effectExtent l="0" t="0" r="6350" b="5715"/>
            <wp:docPr id="44"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246043" cy="6915814"/>
                    </a:xfrm>
                    <a:prstGeom prst="rect">
                      <a:avLst/>
                    </a:prstGeom>
                    <a:noFill/>
                    <a:ln>
                      <a:noFill/>
                    </a:ln>
                  </pic:spPr>
                </pic:pic>
              </a:graphicData>
            </a:graphic>
          </wp:inline>
        </w:drawing>
      </w:r>
      <w:r w:rsidR="00851EED">
        <w:br w:type="page"/>
      </w:r>
    </w:p>
    <w:p w14:paraId="40B32F61" w14:textId="5A85EE56" w:rsidR="00EC0C73" w:rsidRDefault="00EC0C73" w:rsidP="00EC0C73">
      <w:pPr>
        <w:ind w:firstLine="708"/>
      </w:pPr>
      <w:r>
        <w:rPr>
          <w:rFonts w:cs="Arial"/>
          <w:szCs w:val="20"/>
        </w:rPr>
        <w:lastRenderedPageBreak/>
        <w:t>Não existe</w:t>
      </w:r>
      <w:r w:rsidRPr="00604D09">
        <w:rPr>
          <w:rFonts w:cs="Arial"/>
          <w:szCs w:val="20"/>
        </w:rPr>
        <w:t xml:space="preserve"> ainda</w:t>
      </w:r>
      <w:r w:rsidR="00F66522">
        <w:rPr>
          <w:rFonts w:cs="Arial"/>
          <w:szCs w:val="20"/>
        </w:rPr>
        <w:t xml:space="preserve"> </w:t>
      </w:r>
      <w:r>
        <w:rPr>
          <w:rFonts w:cs="Arial"/>
          <w:szCs w:val="20"/>
        </w:rPr>
        <w:t>uma</w:t>
      </w:r>
      <w:r w:rsidRPr="00604D09">
        <w:rPr>
          <w:rFonts w:cs="Arial"/>
          <w:szCs w:val="20"/>
        </w:rPr>
        <w:t xml:space="preserve"> legislação que estabeleça os limites de concentração dos </w:t>
      </w:r>
      <w:r>
        <w:rPr>
          <w:rFonts w:cs="Arial"/>
          <w:szCs w:val="20"/>
        </w:rPr>
        <w:t>esteróis</w:t>
      </w:r>
      <w:r w:rsidRPr="00604D09">
        <w:rPr>
          <w:rFonts w:cs="Arial"/>
          <w:szCs w:val="20"/>
        </w:rPr>
        <w:t xml:space="preserve"> em água.</w:t>
      </w:r>
      <w:r>
        <w:rPr>
          <w:rFonts w:cs="Arial"/>
          <w:szCs w:val="20"/>
        </w:rPr>
        <w:t xml:space="preserve"> Entretanto, o</w:t>
      </w:r>
      <w:r w:rsidRPr="00604D09">
        <w:rPr>
          <w:rFonts w:cs="Arial"/>
          <w:szCs w:val="20"/>
        </w:rPr>
        <w:t xml:space="preserve"> monitoramento desses compostos </w:t>
      </w:r>
      <w:r>
        <w:rPr>
          <w:rFonts w:cs="Arial"/>
          <w:szCs w:val="20"/>
        </w:rPr>
        <w:t>é</w:t>
      </w:r>
      <w:r w:rsidRPr="00604D09">
        <w:rPr>
          <w:rFonts w:cs="Arial"/>
          <w:szCs w:val="20"/>
        </w:rPr>
        <w:t xml:space="preserve"> de fundamental importância, visto que eles apresentam</w:t>
      </w:r>
      <w:r>
        <w:rPr>
          <w:rFonts w:cs="Arial"/>
          <w:szCs w:val="20"/>
        </w:rPr>
        <w:t xml:space="preserve"> </w:t>
      </w:r>
      <w:r w:rsidRPr="00604D09">
        <w:rPr>
          <w:rFonts w:cs="Arial"/>
          <w:szCs w:val="20"/>
        </w:rPr>
        <w:t>estabilidade química em água e sedimentos,</w:t>
      </w:r>
      <w:r>
        <w:rPr>
          <w:rFonts w:cs="Arial"/>
          <w:szCs w:val="20"/>
        </w:rPr>
        <w:t xml:space="preserve"> e podem</w:t>
      </w:r>
      <w:r w:rsidRPr="00604D09">
        <w:rPr>
          <w:rFonts w:cs="Arial"/>
          <w:szCs w:val="20"/>
        </w:rPr>
        <w:t xml:space="preserve"> </w:t>
      </w:r>
      <w:r>
        <w:rPr>
          <w:rFonts w:cs="Arial"/>
          <w:szCs w:val="20"/>
        </w:rPr>
        <w:t>ser</w:t>
      </w:r>
      <w:r w:rsidRPr="00604D09">
        <w:rPr>
          <w:rFonts w:cs="Arial"/>
          <w:szCs w:val="20"/>
        </w:rPr>
        <w:t xml:space="preserve"> utilizados como biomarcadores e indicadores de poluição de </w:t>
      </w:r>
      <w:r>
        <w:rPr>
          <w:rFonts w:cs="Arial"/>
          <w:szCs w:val="20"/>
        </w:rPr>
        <w:t>origem doméstica</w:t>
      </w:r>
      <w:r w:rsidRPr="00604D09">
        <w:rPr>
          <w:rFonts w:cs="Arial"/>
          <w:szCs w:val="20"/>
        </w:rPr>
        <w:t xml:space="preserve">. </w:t>
      </w:r>
    </w:p>
    <w:p w14:paraId="352D83B7" w14:textId="742ED196" w:rsidR="00EC0C73" w:rsidRPr="00E175C7" w:rsidRDefault="00EC0C73" w:rsidP="004F2736">
      <w:pPr>
        <w:pStyle w:val="Ttulo3"/>
      </w:pPr>
      <w:bookmarkStart w:id="152" w:name="_Toc46992134"/>
      <w:r w:rsidRPr="00E175C7">
        <w:t>Fenóis</w:t>
      </w:r>
      <w:bookmarkEnd w:id="152"/>
    </w:p>
    <w:p w14:paraId="2E22D767" w14:textId="77777777" w:rsidR="00EC0C73" w:rsidRPr="00DA7DA6" w:rsidRDefault="00EC0C73" w:rsidP="00EC0C73">
      <w:pPr>
        <w:ind w:firstLine="708"/>
        <w:rPr>
          <w:rFonts w:cs="Arial"/>
          <w:szCs w:val="20"/>
        </w:rPr>
      </w:pPr>
      <w:r w:rsidRPr="00DA7DA6">
        <w:rPr>
          <w:rFonts w:cs="Arial"/>
          <w:szCs w:val="20"/>
        </w:rPr>
        <w:t xml:space="preserve">Os resultados para os Fenóis em sedimentos não serão reportados no relatório semestral, devido </w:t>
      </w:r>
      <w:r>
        <w:rPr>
          <w:rFonts w:cs="Arial"/>
          <w:szCs w:val="20"/>
        </w:rPr>
        <w:t xml:space="preserve">à </w:t>
      </w:r>
      <w:r w:rsidRPr="00DA7DA6">
        <w:rPr>
          <w:rFonts w:cs="Arial"/>
          <w:szCs w:val="20"/>
        </w:rPr>
        <w:t>inviabilização</w:t>
      </w:r>
      <w:r>
        <w:rPr>
          <w:rFonts w:cs="Arial"/>
          <w:szCs w:val="20"/>
        </w:rPr>
        <w:t xml:space="preserve"> de sua execução durante a</w:t>
      </w:r>
      <w:r w:rsidRPr="00DA7DA6">
        <w:rPr>
          <w:rFonts w:cs="Arial"/>
          <w:szCs w:val="20"/>
        </w:rPr>
        <w:t xml:space="preserve"> pandemia d</w:t>
      </w:r>
      <w:r>
        <w:rPr>
          <w:rFonts w:cs="Arial"/>
          <w:szCs w:val="20"/>
        </w:rPr>
        <w:t xml:space="preserve">a </w:t>
      </w:r>
      <w:r w:rsidRPr="00DA7DA6">
        <w:rPr>
          <w:rFonts w:cs="Arial"/>
          <w:szCs w:val="20"/>
        </w:rPr>
        <w:t>COVID-19. Para este parâmetro conseguiu-</w:t>
      </w:r>
      <w:r>
        <w:rPr>
          <w:rFonts w:cs="Arial"/>
          <w:szCs w:val="20"/>
        </w:rPr>
        <w:t>se apenas executar a extração dos sedimentos das</w:t>
      </w:r>
      <w:r w:rsidRPr="00DA7DA6">
        <w:rPr>
          <w:rFonts w:cs="Arial"/>
          <w:szCs w:val="20"/>
        </w:rPr>
        <w:t xml:space="preserve"> 13</w:t>
      </w:r>
      <w:r w:rsidRPr="00E175C7">
        <w:rPr>
          <w:rFonts w:cs="Arial"/>
          <w:szCs w:val="20"/>
          <w:vertAlign w:val="superscript"/>
        </w:rPr>
        <w:t>a</w:t>
      </w:r>
      <w:r w:rsidRPr="00DA7DA6">
        <w:rPr>
          <w:rFonts w:cs="Arial"/>
          <w:szCs w:val="20"/>
        </w:rPr>
        <w:t xml:space="preserve"> e 14</w:t>
      </w:r>
      <w:r w:rsidRPr="00E175C7">
        <w:rPr>
          <w:rFonts w:cs="Arial"/>
          <w:szCs w:val="20"/>
          <w:vertAlign w:val="superscript"/>
        </w:rPr>
        <w:t>a</w:t>
      </w:r>
      <w:r w:rsidRPr="00DA7DA6">
        <w:rPr>
          <w:rFonts w:cs="Arial"/>
          <w:szCs w:val="20"/>
        </w:rPr>
        <w:t xml:space="preserve"> campanha</w:t>
      </w:r>
      <w:r>
        <w:rPr>
          <w:rFonts w:cs="Arial"/>
          <w:szCs w:val="20"/>
        </w:rPr>
        <w:t>s</w:t>
      </w:r>
      <w:r w:rsidRPr="00DA7DA6">
        <w:rPr>
          <w:rFonts w:cs="Arial"/>
          <w:szCs w:val="20"/>
        </w:rPr>
        <w:t xml:space="preserve">, não sendo possível a </w:t>
      </w:r>
      <w:r>
        <w:rPr>
          <w:rFonts w:cs="Arial"/>
          <w:szCs w:val="20"/>
        </w:rPr>
        <w:t>análise de quantificação via cromatografia gasosa.</w:t>
      </w:r>
    </w:p>
    <w:p w14:paraId="00404659" w14:textId="77777777" w:rsidR="00B36D40" w:rsidRPr="00B36D40" w:rsidRDefault="00B36D40" w:rsidP="00B36D40">
      <w:pPr>
        <w:tabs>
          <w:tab w:val="left" w:pos="5880"/>
        </w:tabs>
        <w:rPr>
          <w:szCs w:val="20"/>
        </w:rPr>
      </w:pPr>
    </w:p>
    <w:sectPr w:rsidR="00B36D40" w:rsidRPr="00B36D40" w:rsidSect="00F3091D">
      <w:headerReference w:type="default" r:id="rId84"/>
      <w:footerReference w:type="default" r:id="rId85"/>
      <w:pgSz w:w="11906" w:h="16838"/>
      <w:pgMar w:top="1701" w:right="1134" w:bottom="1134" w:left="1701" w:header="68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B55B55" w14:textId="77777777" w:rsidR="00FF067A" w:rsidRDefault="00FF067A" w:rsidP="00295770">
      <w:pPr>
        <w:spacing w:before="0" w:after="0" w:line="240" w:lineRule="auto"/>
      </w:pPr>
      <w:r>
        <w:separator/>
      </w:r>
    </w:p>
  </w:endnote>
  <w:endnote w:type="continuationSeparator" w:id="0">
    <w:p w14:paraId="477C07CF" w14:textId="77777777" w:rsidR="00FF067A" w:rsidRDefault="00FF067A" w:rsidP="0029577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Raavi">
    <w:panose1 w:val="02000500000000000000"/>
    <w:charset w:val="00"/>
    <w:family w:val="swiss"/>
    <w:pitch w:val="variable"/>
    <w:sig w:usb0="0002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Segoe UI">
    <w:altName w:val="Sylfaen"/>
    <w:panose1 w:val="020B0502040204020203"/>
    <w:charset w:val="00"/>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Helvetica-Bold">
    <w:altName w:val="Times New Roman"/>
    <w:charset w:val="01"/>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5D2B3F" w14:textId="225C953A" w:rsidR="00000000" w:rsidRDefault="00FF067A" w:rsidP="007430F9">
    <w:pPr>
      <w:pStyle w:val="Rodap"/>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708000738"/>
      <w:docPartObj>
        <w:docPartGallery w:val="Page Numbers (Bottom of Page)"/>
        <w:docPartUnique/>
      </w:docPartObj>
    </w:sdtPr>
    <w:sdtContent>
      <w:p w14:paraId="53BC33EB" w14:textId="77777777" w:rsidR="002C014F" w:rsidRDefault="002C014F" w:rsidP="007430F9">
        <w:pPr>
          <w:pStyle w:val="Rodap"/>
          <w:jc w:val="right"/>
        </w:pPr>
        <w:r>
          <w:fldChar w:fldCharType="begin"/>
        </w:r>
        <w:r>
          <w:instrText>PAGE   \* MERGEFORMAT</w:instrText>
        </w:r>
        <w:r>
          <w:fldChar w:fldCharType="separate"/>
        </w:r>
        <w:r>
          <w:rPr>
            <w:noProof/>
          </w:rPr>
          <w:t>1</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54E20C" w14:textId="08A5C6DC" w:rsidR="00D23D19" w:rsidRPr="00F93DF1" w:rsidRDefault="007430F9" w:rsidP="00D93489">
    <w:pPr>
      <w:pStyle w:val="Rodap"/>
      <w:spacing w:before="360"/>
      <w:jc w:val="left"/>
      <w:rPr>
        <w:sz w:val="18"/>
        <w:szCs w:val="20"/>
      </w:rPr>
    </w:pPr>
    <w:r>
      <w:tab/>
    </w:r>
    <w:r w:rsidR="00D23D19" w:rsidRPr="00F93DF1">
      <w:rPr>
        <w:sz w:val="18"/>
        <w:szCs w:val="20"/>
      </w:rPr>
      <w:tab/>
      <w:t xml:space="preserve"> </w:t>
    </w:r>
    <w:sdt>
      <w:sdtPr>
        <w:rPr>
          <w:sz w:val="18"/>
          <w:szCs w:val="20"/>
        </w:rPr>
        <w:id w:val="-1137261283"/>
        <w:docPartObj>
          <w:docPartGallery w:val="Page Numbers (Bottom of Page)"/>
          <w:docPartUnique/>
        </w:docPartObj>
      </w:sdtPr>
      <w:sdtEndPr/>
      <w:sdtContent>
        <w:r w:rsidR="00D23D19" w:rsidRPr="00F93DF1">
          <w:rPr>
            <w:sz w:val="18"/>
            <w:szCs w:val="20"/>
          </w:rPr>
          <w:fldChar w:fldCharType="begin"/>
        </w:r>
        <w:r w:rsidR="00D23D19" w:rsidRPr="00F93DF1">
          <w:rPr>
            <w:sz w:val="18"/>
            <w:szCs w:val="20"/>
          </w:rPr>
          <w:instrText>PAGE   \* MERGEFORMAT</w:instrText>
        </w:r>
        <w:r w:rsidR="00D23D19" w:rsidRPr="00F93DF1">
          <w:rPr>
            <w:sz w:val="18"/>
            <w:szCs w:val="20"/>
          </w:rPr>
          <w:fldChar w:fldCharType="separate"/>
        </w:r>
        <w:r w:rsidR="00D46147">
          <w:rPr>
            <w:noProof/>
            <w:sz w:val="18"/>
            <w:szCs w:val="20"/>
          </w:rPr>
          <w:t>89</w:t>
        </w:r>
        <w:r w:rsidR="00D23D19" w:rsidRPr="00F93DF1">
          <w:rPr>
            <w:sz w:val="18"/>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BC4F4BB" w14:textId="77777777" w:rsidR="00FF067A" w:rsidRDefault="00FF067A" w:rsidP="00295770">
      <w:pPr>
        <w:spacing w:before="0" w:after="0" w:line="240" w:lineRule="auto"/>
      </w:pPr>
      <w:r>
        <w:separator/>
      </w:r>
    </w:p>
  </w:footnote>
  <w:footnote w:type="continuationSeparator" w:id="0">
    <w:p w14:paraId="49F6AAD8" w14:textId="77777777" w:rsidR="00FF067A" w:rsidRDefault="00FF067A" w:rsidP="00295770">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B82A49" w14:textId="77777777" w:rsidR="00D23D19" w:rsidRDefault="00D23D19">
    <w:pPr>
      <w:pStyle w:val="Cabealho"/>
      <w:rPr>
        <w:noProof/>
        <w:lang w:val="en-US"/>
      </w:rPr>
    </w:pPr>
    <w:r>
      <w:rPr>
        <w:noProof/>
        <w:lang w:eastAsia="pt-BR"/>
      </w:rPr>
      <w:drawing>
        <wp:inline distT="0" distB="0" distL="0" distR="0" wp14:anchorId="7AE17C7E" wp14:editId="3771E73C">
          <wp:extent cx="1733550" cy="390525"/>
          <wp:effectExtent l="0" t="0" r="0" b="9525"/>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0" cy="390525"/>
                  </a:xfrm>
                  <a:prstGeom prst="rect">
                    <a:avLst/>
                  </a:prstGeom>
                  <a:noFill/>
                  <a:ln>
                    <a:noFill/>
                  </a:ln>
                </pic:spPr>
              </pic:pic>
            </a:graphicData>
          </a:graphic>
        </wp:inline>
      </w:drawing>
    </w:r>
    <w:r>
      <w:rPr>
        <w:noProof/>
        <w:lang w:val="en-US"/>
      </w:rPr>
      <w:t xml:space="preserve">                                                                                        </w:t>
    </w:r>
    <w:r>
      <w:rPr>
        <w:noProof/>
        <w:lang w:eastAsia="pt-BR"/>
      </w:rPr>
      <w:drawing>
        <wp:inline distT="0" distB="0" distL="0" distR="0" wp14:anchorId="27C0AD35" wp14:editId="25C19DE0">
          <wp:extent cx="815340" cy="721511"/>
          <wp:effectExtent l="0" t="0" r="3810" b="2540"/>
          <wp:docPr id="39"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ARCA_GRAFICA_REDE_RIO_DOCE_MAR_COR.jpg"/>
                  <pic:cNvPicPr/>
                </pic:nvPicPr>
                <pic:blipFill rotWithShape="1">
                  <a:blip r:embed="rId2">
                    <a:extLst>
                      <a:ext uri="{28A0092B-C50C-407E-A947-70E740481C1C}">
                        <a14:useLocalDpi xmlns:a14="http://schemas.microsoft.com/office/drawing/2010/main" val="0"/>
                      </a:ext>
                    </a:extLst>
                  </a:blip>
                  <a:srcRect l="29233" t="23966" r="29365" b="24169"/>
                  <a:stretch/>
                </pic:blipFill>
                <pic:spPr bwMode="auto">
                  <a:xfrm>
                    <a:off x="0" y="0"/>
                    <a:ext cx="815340" cy="721511"/>
                  </a:xfrm>
                  <a:prstGeom prst="rect">
                    <a:avLst/>
                  </a:prstGeom>
                  <a:ln>
                    <a:noFill/>
                  </a:ln>
                  <a:extLst>
                    <a:ext uri="{53640926-AAD7-44D8-BBD7-CCE9431645EC}">
                      <a14:shadowObscured xmlns:a14="http://schemas.microsoft.com/office/drawing/2010/main"/>
                    </a:ext>
                  </a:extLst>
                </pic:spPr>
              </pic:pic>
            </a:graphicData>
          </a:graphic>
        </wp:inline>
      </w:drawing>
    </w:r>
  </w:p>
  <w:p w14:paraId="3BD620C8" w14:textId="77777777" w:rsidR="00D23D19" w:rsidRDefault="00D23D19">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BF83C8" w14:textId="7F161734" w:rsidR="007430F9" w:rsidRDefault="007430F9">
    <w:pPr>
      <w:pStyle w:val="Cabealho"/>
      <w:rPr>
        <w:noProof/>
        <w:lang w:val="en-US"/>
      </w:rPr>
    </w:pPr>
    <w:r>
      <w:rPr>
        <w:noProof/>
        <w:lang w:val="en-US"/>
      </w:rPr>
      <w:tab/>
    </w:r>
    <w:r>
      <w:rPr>
        <w:noProof/>
        <w:lang w:eastAsia="pt-BR"/>
      </w:rPr>
      <w:drawing>
        <wp:inline distT="0" distB="0" distL="0" distR="0" wp14:anchorId="3839646D" wp14:editId="0CCE864A">
          <wp:extent cx="1733550" cy="390525"/>
          <wp:effectExtent l="0" t="0" r="0" b="952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0" cy="390525"/>
                  </a:xfrm>
                  <a:prstGeom prst="rect">
                    <a:avLst/>
                  </a:prstGeom>
                  <a:noFill/>
                  <a:ln>
                    <a:noFill/>
                  </a:ln>
                </pic:spPr>
              </pic:pic>
            </a:graphicData>
          </a:graphic>
        </wp:inline>
      </w:drawing>
    </w:r>
    <w:r>
      <w:rPr>
        <w:noProof/>
        <w:lang w:val="en-US"/>
      </w:rPr>
      <w:t xml:space="preserve">                                                                                                                                                                               </w:t>
    </w:r>
    <w:r>
      <w:rPr>
        <w:noProof/>
        <w:lang w:eastAsia="pt-BR"/>
      </w:rPr>
      <w:drawing>
        <wp:inline distT="0" distB="0" distL="0" distR="0" wp14:anchorId="6A027AD4" wp14:editId="7C2F0ED3">
          <wp:extent cx="815340" cy="721511"/>
          <wp:effectExtent l="0" t="0" r="3810" b="254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ARCA_GRAFICA_REDE_RIO_DOCE_MAR_COR.jpg"/>
                  <pic:cNvPicPr/>
                </pic:nvPicPr>
                <pic:blipFill rotWithShape="1">
                  <a:blip r:embed="rId2">
                    <a:extLst>
                      <a:ext uri="{28A0092B-C50C-407E-A947-70E740481C1C}">
                        <a14:useLocalDpi xmlns:a14="http://schemas.microsoft.com/office/drawing/2010/main" val="0"/>
                      </a:ext>
                    </a:extLst>
                  </a:blip>
                  <a:srcRect l="29233" t="23966" r="29365" b="24169"/>
                  <a:stretch/>
                </pic:blipFill>
                <pic:spPr bwMode="auto">
                  <a:xfrm>
                    <a:off x="0" y="0"/>
                    <a:ext cx="815340" cy="721511"/>
                  </a:xfrm>
                  <a:prstGeom prst="rect">
                    <a:avLst/>
                  </a:prstGeom>
                  <a:ln>
                    <a:noFill/>
                  </a:ln>
                  <a:extLst>
                    <a:ext uri="{53640926-AAD7-44D8-BBD7-CCE9431645EC}">
                      <a14:shadowObscured xmlns:a14="http://schemas.microsoft.com/office/drawing/2010/main"/>
                    </a:ext>
                  </a:extLst>
                </pic:spPr>
              </pic:pic>
            </a:graphicData>
          </a:graphic>
        </wp:inline>
      </w:drawing>
    </w:r>
  </w:p>
  <w:p w14:paraId="002F78C9" w14:textId="77777777" w:rsidR="007430F9" w:rsidRDefault="007430F9">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983874" w14:textId="269148B1" w:rsidR="007430F9" w:rsidRDefault="007430F9">
    <w:pPr>
      <w:pStyle w:val="Cabealho"/>
      <w:rPr>
        <w:noProof/>
        <w:lang w:val="en-US"/>
      </w:rPr>
    </w:pPr>
    <w:r>
      <w:rPr>
        <w:noProof/>
        <w:lang w:eastAsia="pt-BR"/>
      </w:rPr>
      <w:drawing>
        <wp:inline distT="0" distB="0" distL="0" distR="0" wp14:anchorId="0A4E8C1F" wp14:editId="026226F4">
          <wp:extent cx="1733550" cy="390525"/>
          <wp:effectExtent l="0" t="0" r="0" b="9525"/>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0" cy="390525"/>
                  </a:xfrm>
                  <a:prstGeom prst="rect">
                    <a:avLst/>
                  </a:prstGeom>
                  <a:noFill/>
                  <a:ln>
                    <a:noFill/>
                  </a:ln>
                </pic:spPr>
              </pic:pic>
            </a:graphicData>
          </a:graphic>
        </wp:inline>
      </w:drawing>
    </w:r>
    <w:r>
      <w:rPr>
        <w:noProof/>
        <w:lang w:val="en-US"/>
      </w:rPr>
      <w:t xml:space="preserve">                                                                                        </w:t>
    </w:r>
    <w:r>
      <w:rPr>
        <w:noProof/>
        <w:lang w:eastAsia="pt-BR"/>
      </w:rPr>
      <w:drawing>
        <wp:inline distT="0" distB="0" distL="0" distR="0" wp14:anchorId="0A7D2022" wp14:editId="7D466263">
          <wp:extent cx="815340" cy="721511"/>
          <wp:effectExtent l="0" t="0" r="3810" b="2540"/>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ARCA_GRAFICA_REDE_RIO_DOCE_MAR_COR.jpg"/>
                  <pic:cNvPicPr/>
                </pic:nvPicPr>
                <pic:blipFill rotWithShape="1">
                  <a:blip r:embed="rId2">
                    <a:extLst>
                      <a:ext uri="{28A0092B-C50C-407E-A947-70E740481C1C}">
                        <a14:useLocalDpi xmlns:a14="http://schemas.microsoft.com/office/drawing/2010/main" val="0"/>
                      </a:ext>
                    </a:extLst>
                  </a:blip>
                  <a:srcRect l="29233" t="23966" r="29365" b="24169"/>
                  <a:stretch/>
                </pic:blipFill>
                <pic:spPr bwMode="auto">
                  <a:xfrm>
                    <a:off x="0" y="0"/>
                    <a:ext cx="815340" cy="721511"/>
                  </a:xfrm>
                  <a:prstGeom prst="rect">
                    <a:avLst/>
                  </a:prstGeom>
                  <a:ln>
                    <a:noFill/>
                  </a:ln>
                  <a:extLst>
                    <a:ext uri="{53640926-AAD7-44D8-BBD7-CCE9431645EC}">
                      <a14:shadowObscured xmlns:a14="http://schemas.microsoft.com/office/drawing/2010/main"/>
                    </a:ext>
                  </a:extLst>
                </pic:spPr>
              </pic:pic>
            </a:graphicData>
          </a:graphic>
        </wp:inline>
      </w:drawing>
    </w:r>
  </w:p>
  <w:p w14:paraId="75BA6200" w14:textId="77777777" w:rsidR="007430F9" w:rsidRDefault="007430F9">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06487E" w14:textId="41E14768" w:rsidR="007430F9" w:rsidRDefault="007430F9">
    <w:pPr>
      <w:pStyle w:val="Cabealho"/>
      <w:rPr>
        <w:noProof/>
        <w:lang w:val="en-US"/>
      </w:rPr>
    </w:pPr>
    <w:r>
      <w:rPr>
        <w:noProof/>
        <w:lang w:eastAsia="pt-BR"/>
      </w:rPr>
      <w:drawing>
        <wp:inline distT="0" distB="0" distL="0" distR="0" wp14:anchorId="0F8C184D" wp14:editId="0C8D0A6F">
          <wp:extent cx="1733550" cy="390525"/>
          <wp:effectExtent l="0" t="0" r="0" b="9525"/>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0" cy="390525"/>
                  </a:xfrm>
                  <a:prstGeom prst="rect">
                    <a:avLst/>
                  </a:prstGeom>
                  <a:noFill/>
                  <a:ln>
                    <a:noFill/>
                  </a:ln>
                </pic:spPr>
              </pic:pic>
            </a:graphicData>
          </a:graphic>
        </wp:inline>
      </w:drawing>
    </w:r>
    <w:r>
      <w:rPr>
        <w:noProof/>
        <w:lang w:val="en-US"/>
      </w:rPr>
      <w:t xml:space="preserve">                                                                                                                                                                                     </w:t>
    </w:r>
    <w:r>
      <w:rPr>
        <w:noProof/>
        <w:lang w:eastAsia="pt-BR"/>
      </w:rPr>
      <w:drawing>
        <wp:inline distT="0" distB="0" distL="0" distR="0" wp14:anchorId="19D5EA3E" wp14:editId="3E87FC8E">
          <wp:extent cx="815340" cy="721511"/>
          <wp:effectExtent l="0" t="0" r="3810" b="2540"/>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ARCA_GRAFICA_REDE_RIO_DOCE_MAR_COR.jpg"/>
                  <pic:cNvPicPr/>
                </pic:nvPicPr>
                <pic:blipFill rotWithShape="1">
                  <a:blip r:embed="rId2">
                    <a:extLst>
                      <a:ext uri="{28A0092B-C50C-407E-A947-70E740481C1C}">
                        <a14:useLocalDpi xmlns:a14="http://schemas.microsoft.com/office/drawing/2010/main" val="0"/>
                      </a:ext>
                    </a:extLst>
                  </a:blip>
                  <a:srcRect l="29233" t="23966" r="29365" b="24169"/>
                  <a:stretch/>
                </pic:blipFill>
                <pic:spPr bwMode="auto">
                  <a:xfrm>
                    <a:off x="0" y="0"/>
                    <a:ext cx="815340" cy="721511"/>
                  </a:xfrm>
                  <a:prstGeom prst="rect">
                    <a:avLst/>
                  </a:prstGeom>
                  <a:ln>
                    <a:noFill/>
                  </a:ln>
                  <a:extLst>
                    <a:ext uri="{53640926-AAD7-44D8-BBD7-CCE9431645EC}">
                      <a14:shadowObscured xmlns:a14="http://schemas.microsoft.com/office/drawing/2010/main"/>
                    </a:ext>
                  </a:extLst>
                </pic:spPr>
              </pic:pic>
            </a:graphicData>
          </a:graphic>
        </wp:inline>
      </w:drawing>
    </w:r>
  </w:p>
  <w:p w14:paraId="7617F12C" w14:textId="77777777" w:rsidR="007430F9" w:rsidRDefault="007430F9">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B039A8" w14:textId="343E310D" w:rsidR="007430F9" w:rsidRDefault="007430F9">
    <w:pPr>
      <w:pStyle w:val="Cabealho"/>
      <w:rPr>
        <w:noProof/>
        <w:lang w:val="en-US"/>
      </w:rPr>
    </w:pPr>
    <w:r>
      <w:rPr>
        <w:noProof/>
        <w:lang w:eastAsia="pt-BR"/>
      </w:rPr>
      <w:drawing>
        <wp:inline distT="0" distB="0" distL="0" distR="0" wp14:anchorId="42012674" wp14:editId="412D1299">
          <wp:extent cx="1733550" cy="390525"/>
          <wp:effectExtent l="0" t="0" r="0" b="952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0" cy="390525"/>
                  </a:xfrm>
                  <a:prstGeom prst="rect">
                    <a:avLst/>
                  </a:prstGeom>
                  <a:noFill/>
                  <a:ln>
                    <a:noFill/>
                  </a:ln>
                </pic:spPr>
              </pic:pic>
            </a:graphicData>
          </a:graphic>
        </wp:inline>
      </w:drawing>
    </w:r>
    <w:r>
      <w:rPr>
        <w:noProof/>
        <w:lang w:val="en-US"/>
      </w:rPr>
      <w:t xml:space="preserve">                                                                                         </w:t>
    </w:r>
    <w:r>
      <w:rPr>
        <w:noProof/>
        <w:lang w:eastAsia="pt-BR"/>
      </w:rPr>
      <w:drawing>
        <wp:inline distT="0" distB="0" distL="0" distR="0" wp14:anchorId="792F44FB" wp14:editId="25764360">
          <wp:extent cx="815340" cy="721511"/>
          <wp:effectExtent l="0" t="0" r="3810" b="2540"/>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ARCA_GRAFICA_REDE_RIO_DOCE_MAR_COR.jpg"/>
                  <pic:cNvPicPr/>
                </pic:nvPicPr>
                <pic:blipFill rotWithShape="1">
                  <a:blip r:embed="rId2">
                    <a:extLst>
                      <a:ext uri="{28A0092B-C50C-407E-A947-70E740481C1C}">
                        <a14:useLocalDpi xmlns:a14="http://schemas.microsoft.com/office/drawing/2010/main" val="0"/>
                      </a:ext>
                    </a:extLst>
                  </a:blip>
                  <a:srcRect l="29233" t="23966" r="29365" b="24169"/>
                  <a:stretch/>
                </pic:blipFill>
                <pic:spPr bwMode="auto">
                  <a:xfrm>
                    <a:off x="0" y="0"/>
                    <a:ext cx="815340" cy="721511"/>
                  </a:xfrm>
                  <a:prstGeom prst="rect">
                    <a:avLst/>
                  </a:prstGeom>
                  <a:ln>
                    <a:noFill/>
                  </a:ln>
                  <a:extLst>
                    <a:ext uri="{53640926-AAD7-44D8-BBD7-CCE9431645EC}">
                      <a14:shadowObscured xmlns:a14="http://schemas.microsoft.com/office/drawing/2010/main"/>
                    </a:ext>
                  </a:extLst>
                </pic:spPr>
              </pic:pic>
            </a:graphicData>
          </a:graphic>
        </wp:inline>
      </w:drawing>
    </w:r>
  </w:p>
  <w:p w14:paraId="2FA0AC5D" w14:textId="77777777" w:rsidR="007430F9" w:rsidRDefault="007430F9">
    <w:pPr>
      <w:pStyle w:val="Cabealh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C6EA90" w14:textId="23B95FF1" w:rsidR="007430F9" w:rsidRDefault="007430F9">
    <w:pPr>
      <w:pStyle w:val="Cabealho"/>
      <w:rPr>
        <w:noProof/>
        <w:lang w:val="en-US"/>
      </w:rPr>
    </w:pPr>
    <w:r>
      <w:rPr>
        <w:noProof/>
        <w:lang w:eastAsia="pt-BR"/>
      </w:rPr>
      <w:drawing>
        <wp:inline distT="0" distB="0" distL="0" distR="0" wp14:anchorId="3978D011" wp14:editId="6AD30140">
          <wp:extent cx="1733550" cy="390525"/>
          <wp:effectExtent l="0" t="0" r="0" b="9525"/>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0" cy="390525"/>
                  </a:xfrm>
                  <a:prstGeom prst="rect">
                    <a:avLst/>
                  </a:prstGeom>
                  <a:noFill/>
                  <a:ln>
                    <a:noFill/>
                  </a:ln>
                </pic:spPr>
              </pic:pic>
            </a:graphicData>
          </a:graphic>
        </wp:inline>
      </w:drawing>
    </w:r>
    <w:r>
      <w:rPr>
        <w:noProof/>
        <w:lang w:val="en-US"/>
      </w:rPr>
      <w:t xml:space="preserve">                                                                                                                                                                                   </w:t>
    </w:r>
    <w:r>
      <w:rPr>
        <w:noProof/>
        <w:lang w:eastAsia="pt-BR"/>
      </w:rPr>
      <w:drawing>
        <wp:inline distT="0" distB="0" distL="0" distR="0" wp14:anchorId="3BE3F5BA" wp14:editId="3356B59D">
          <wp:extent cx="815340" cy="721511"/>
          <wp:effectExtent l="0" t="0" r="3810" b="2540"/>
          <wp:docPr id="52" name="Imagem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ARCA_GRAFICA_REDE_RIO_DOCE_MAR_COR.jpg"/>
                  <pic:cNvPicPr/>
                </pic:nvPicPr>
                <pic:blipFill rotWithShape="1">
                  <a:blip r:embed="rId2">
                    <a:extLst>
                      <a:ext uri="{28A0092B-C50C-407E-A947-70E740481C1C}">
                        <a14:useLocalDpi xmlns:a14="http://schemas.microsoft.com/office/drawing/2010/main" val="0"/>
                      </a:ext>
                    </a:extLst>
                  </a:blip>
                  <a:srcRect l="29233" t="23966" r="29365" b="24169"/>
                  <a:stretch/>
                </pic:blipFill>
                <pic:spPr bwMode="auto">
                  <a:xfrm>
                    <a:off x="0" y="0"/>
                    <a:ext cx="815340" cy="721511"/>
                  </a:xfrm>
                  <a:prstGeom prst="rect">
                    <a:avLst/>
                  </a:prstGeom>
                  <a:ln>
                    <a:noFill/>
                  </a:ln>
                  <a:extLst>
                    <a:ext uri="{53640926-AAD7-44D8-BBD7-CCE9431645EC}">
                      <a14:shadowObscured xmlns:a14="http://schemas.microsoft.com/office/drawing/2010/main"/>
                    </a:ext>
                  </a:extLst>
                </pic:spPr>
              </pic:pic>
            </a:graphicData>
          </a:graphic>
        </wp:inline>
      </w:drawing>
    </w:r>
  </w:p>
  <w:p w14:paraId="7821885A" w14:textId="77777777" w:rsidR="007430F9" w:rsidRDefault="007430F9">
    <w:pPr>
      <w:pStyle w:val="Cabealho"/>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19630C" w14:textId="77777777" w:rsidR="00D23D19" w:rsidRDefault="00D23D19">
    <w:pPr>
      <w:pStyle w:val="Cabealho"/>
      <w:rPr>
        <w:noProof/>
        <w:lang w:val="en-US"/>
      </w:rPr>
    </w:pPr>
    <w:r>
      <w:rPr>
        <w:noProof/>
        <w:lang w:eastAsia="pt-BR"/>
      </w:rPr>
      <w:drawing>
        <wp:inline distT="0" distB="0" distL="0" distR="0" wp14:anchorId="0FD26921" wp14:editId="1617C6CC">
          <wp:extent cx="1733550" cy="390525"/>
          <wp:effectExtent l="0" t="0" r="0" b="952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0" cy="390525"/>
                  </a:xfrm>
                  <a:prstGeom prst="rect">
                    <a:avLst/>
                  </a:prstGeom>
                  <a:noFill/>
                  <a:ln>
                    <a:noFill/>
                  </a:ln>
                </pic:spPr>
              </pic:pic>
            </a:graphicData>
          </a:graphic>
        </wp:inline>
      </w:drawing>
    </w:r>
    <w:r>
      <w:rPr>
        <w:noProof/>
        <w:lang w:val="en-US"/>
      </w:rPr>
      <w:t xml:space="preserve">                                                                                        </w:t>
    </w:r>
    <w:r>
      <w:rPr>
        <w:noProof/>
        <w:lang w:eastAsia="pt-BR"/>
      </w:rPr>
      <w:drawing>
        <wp:inline distT="0" distB="0" distL="0" distR="0" wp14:anchorId="29322F3E" wp14:editId="054B1AAB">
          <wp:extent cx="815340" cy="721511"/>
          <wp:effectExtent l="0" t="0" r="3810" b="254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ARCA_GRAFICA_REDE_RIO_DOCE_MAR_COR.jpg"/>
                  <pic:cNvPicPr/>
                </pic:nvPicPr>
                <pic:blipFill rotWithShape="1">
                  <a:blip r:embed="rId2">
                    <a:extLst>
                      <a:ext uri="{28A0092B-C50C-407E-A947-70E740481C1C}">
                        <a14:useLocalDpi xmlns:a14="http://schemas.microsoft.com/office/drawing/2010/main" val="0"/>
                      </a:ext>
                    </a:extLst>
                  </a:blip>
                  <a:srcRect l="29233" t="23966" r="29365" b="24169"/>
                  <a:stretch/>
                </pic:blipFill>
                <pic:spPr bwMode="auto">
                  <a:xfrm>
                    <a:off x="0" y="0"/>
                    <a:ext cx="815340" cy="721511"/>
                  </a:xfrm>
                  <a:prstGeom prst="rect">
                    <a:avLst/>
                  </a:prstGeom>
                  <a:ln>
                    <a:noFill/>
                  </a:ln>
                  <a:extLst>
                    <a:ext uri="{53640926-AAD7-44D8-BBD7-CCE9431645EC}">
                      <a14:shadowObscured xmlns:a14="http://schemas.microsoft.com/office/drawing/2010/main"/>
                    </a:ext>
                  </a:extLst>
                </pic:spPr>
              </pic:pic>
            </a:graphicData>
          </a:graphic>
        </wp:inline>
      </w:drawing>
    </w:r>
  </w:p>
  <w:p w14:paraId="19F9A764" w14:textId="77777777" w:rsidR="00D23D19" w:rsidRDefault="00D23D19">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39737A9"/>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27C26BAA"/>
    <w:multiLevelType w:val="hybridMultilevel"/>
    <w:tmpl w:val="593CBB3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2FD6667C"/>
    <w:multiLevelType w:val="multilevel"/>
    <w:tmpl w:val="F42833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C8633BD"/>
    <w:multiLevelType w:val="hybridMultilevel"/>
    <w:tmpl w:val="DEC6FEFA"/>
    <w:lvl w:ilvl="0" w:tplc="28A80F8C">
      <w:numFmt w:val="bullet"/>
      <w:lvlText w:val="-"/>
      <w:lvlJc w:val="left"/>
      <w:pPr>
        <w:ind w:left="720" w:hanging="360"/>
      </w:pPr>
      <w:rPr>
        <w:rFonts w:ascii="Arial" w:eastAsiaTheme="minorHAnsi" w:hAnsi="Aria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48A406EE"/>
    <w:multiLevelType w:val="multilevel"/>
    <w:tmpl w:val="9EE441E4"/>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5" w15:restartNumberingAfterBreak="0">
    <w:nsid w:val="4E0968CE"/>
    <w:multiLevelType w:val="hybridMultilevel"/>
    <w:tmpl w:val="EBC0CC7C"/>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5B15093E"/>
    <w:multiLevelType w:val="hybridMultilevel"/>
    <w:tmpl w:val="65945FC2"/>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60003076"/>
    <w:multiLevelType w:val="hybridMultilevel"/>
    <w:tmpl w:val="C1A4563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77537EE0"/>
    <w:multiLevelType w:val="hybridMultilevel"/>
    <w:tmpl w:val="3514C85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4"/>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num>
  <w:num w:numId="6">
    <w:abstractNumId w:val="8"/>
  </w:num>
  <w:num w:numId="7">
    <w:abstractNumId w:val="5"/>
  </w:num>
  <w:num w:numId="8">
    <w:abstractNumId w:val="2"/>
  </w:num>
  <w:num w:numId="9">
    <w:abstractNumId w:val="0"/>
  </w:num>
  <w:num w:numId="10">
    <w:abstractNumId w:val="7"/>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50"/>
  <w:hideSpelling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2C5D"/>
    <w:rsid w:val="0000044B"/>
    <w:rsid w:val="000022D8"/>
    <w:rsid w:val="0000231A"/>
    <w:rsid w:val="000044AD"/>
    <w:rsid w:val="00004C79"/>
    <w:rsid w:val="00005267"/>
    <w:rsid w:val="00007126"/>
    <w:rsid w:val="00014836"/>
    <w:rsid w:val="00015E62"/>
    <w:rsid w:val="00017F8B"/>
    <w:rsid w:val="00020D20"/>
    <w:rsid w:val="00022D39"/>
    <w:rsid w:val="00023241"/>
    <w:rsid w:val="00030C69"/>
    <w:rsid w:val="0003166C"/>
    <w:rsid w:val="00033721"/>
    <w:rsid w:val="00035CA8"/>
    <w:rsid w:val="00035DEB"/>
    <w:rsid w:val="00036DD4"/>
    <w:rsid w:val="00037000"/>
    <w:rsid w:val="000408A8"/>
    <w:rsid w:val="00043163"/>
    <w:rsid w:val="00043D10"/>
    <w:rsid w:val="00045379"/>
    <w:rsid w:val="000674BF"/>
    <w:rsid w:val="00070BC6"/>
    <w:rsid w:val="00070EAA"/>
    <w:rsid w:val="000726FE"/>
    <w:rsid w:val="00075989"/>
    <w:rsid w:val="00076455"/>
    <w:rsid w:val="00076786"/>
    <w:rsid w:val="00077E7C"/>
    <w:rsid w:val="000902FE"/>
    <w:rsid w:val="00090FDF"/>
    <w:rsid w:val="000926CB"/>
    <w:rsid w:val="00094C6C"/>
    <w:rsid w:val="0009631E"/>
    <w:rsid w:val="000A226F"/>
    <w:rsid w:val="000A26EE"/>
    <w:rsid w:val="000A73F8"/>
    <w:rsid w:val="000B449A"/>
    <w:rsid w:val="000B6ECA"/>
    <w:rsid w:val="000B7FF8"/>
    <w:rsid w:val="000C1D13"/>
    <w:rsid w:val="000C4F0E"/>
    <w:rsid w:val="000E0704"/>
    <w:rsid w:val="000E39E1"/>
    <w:rsid w:val="000E535C"/>
    <w:rsid w:val="000E6E37"/>
    <w:rsid w:val="000E7C96"/>
    <w:rsid w:val="000F04B0"/>
    <w:rsid w:val="000F45A1"/>
    <w:rsid w:val="000F4A8E"/>
    <w:rsid w:val="000F5E94"/>
    <w:rsid w:val="000F78D3"/>
    <w:rsid w:val="00110281"/>
    <w:rsid w:val="00110CEC"/>
    <w:rsid w:val="00113CDC"/>
    <w:rsid w:val="00113FA3"/>
    <w:rsid w:val="00114016"/>
    <w:rsid w:val="00114F1E"/>
    <w:rsid w:val="001154AF"/>
    <w:rsid w:val="0012138D"/>
    <w:rsid w:val="001255F4"/>
    <w:rsid w:val="00131DD0"/>
    <w:rsid w:val="001464AE"/>
    <w:rsid w:val="00152671"/>
    <w:rsid w:val="00161564"/>
    <w:rsid w:val="001648F9"/>
    <w:rsid w:val="001659CD"/>
    <w:rsid w:val="0016663D"/>
    <w:rsid w:val="001710AB"/>
    <w:rsid w:val="00171C37"/>
    <w:rsid w:val="001724F6"/>
    <w:rsid w:val="00176CF0"/>
    <w:rsid w:val="0017766A"/>
    <w:rsid w:val="0018238E"/>
    <w:rsid w:val="0018784B"/>
    <w:rsid w:val="0018788E"/>
    <w:rsid w:val="0019257F"/>
    <w:rsid w:val="001953E6"/>
    <w:rsid w:val="00197483"/>
    <w:rsid w:val="001A0AB9"/>
    <w:rsid w:val="001A38E0"/>
    <w:rsid w:val="001A661A"/>
    <w:rsid w:val="001B023D"/>
    <w:rsid w:val="001B02AC"/>
    <w:rsid w:val="001B18AB"/>
    <w:rsid w:val="001B2041"/>
    <w:rsid w:val="001B35AE"/>
    <w:rsid w:val="001B3BE7"/>
    <w:rsid w:val="001C163A"/>
    <w:rsid w:val="001D35FC"/>
    <w:rsid w:val="001D3CB9"/>
    <w:rsid w:val="001D6263"/>
    <w:rsid w:val="001E0F2D"/>
    <w:rsid w:val="001E1D34"/>
    <w:rsid w:val="001E2A84"/>
    <w:rsid w:val="001E2AA7"/>
    <w:rsid w:val="001E3026"/>
    <w:rsid w:val="001E5171"/>
    <w:rsid w:val="001E7834"/>
    <w:rsid w:val="001F1D5E"/>
    <w:rsid w:val="001F4A14"/>
    <w:rsid w:val="001F6B67"/>
    <w:rsid w:val="001F7471"/>
    <w:rsid w:val="002012F1"/>
    <w:rsid w:val="00202681"/>
    <w:rsid w:val="00207CE1"/>
    <w:rsid w:val="00210387"/>
    <w:rsid w:val="0021085E"/>
    <w:rsid w:val="00210A2D"/>
    <w:rsid w:val="00211B08"/>
    <w:rsid w:val="00211DE2"/>
    <w:rsid w:val="00215510"/>
    <w:rsid w:val="00221BC4"/>
    <w:rsid w:val="00224973"/>
    <w:rsid w:val="00224CE4"/>
    <w:rsid w:val="002309FF"/>
    <w:rsid w:val="00235AD5"/>
    <w:rsid w:val="0024043A"/>
    <w:rsid w:val="00241906"/>
    <w:rsid w:val="002444BF"/>
    <w:rsid w:val="0025021A"/>
    <w:rsid w:val="00252505"/>
    <w:rsid w:val="002531C1"/>
    <w:rsid w:val="00254FF7"/>
    <w:rsid w:val="00260172"/>
    <w:rsid w:val="002614D2"/>
    <w:rsid w:val="00264011"/>
    <w:rsid w:val="00264026"/>
    <w:rsid w:val="00266668"/>
    <w:rsid w:val="00266EC7"/>
    <w:rsid w:val="00270F9B"/>
    <w:rsid w:val="00276E57"/>
    <w:rsid w:val="00281466"/>
    <w:rsid w:val="00281E48"/>
    <w:rsid w:val="00281EDD"/>
    <w:rsid w:val="00292CC6"/>
    <w:rsid w:val="00293466"/>
    <w:rsid w:val="00295770"/>
    <w:rsid w:val="002A7570"/>
    <w:rsid w:val="002A7D67"/>
    <w:rsid w:val="002B1D4E"/>
    <w:rsid w:val="002B274F"/>
    <w:rsid w:val="002B4968"/>
    <w:rsid w:val="002B5020"/>
    <w:rsid w:val="002B63AF"/>
    <w:rsid w:val="002B7E72"/>
    <w:rsid w:val="002C014F"/>
    <w:rsid w:val="002C0A07"/>
    <w:rsid w:val="002D1C43"/>
    <w:rsid w:val="002D3E6B"/>
    <w:rsid w:val="002D5A26"/>
    <w:rsid w:val="002F22A6"/>
    <w:rsid w:val="002F3823"/>
    <w:rsid w:val="002F4F49"/>
    <w:rsid w:val="002F61D2"/>
    <w:rsid w:val="003046A6"/>
    <w:rsid w:val="003138A9"/>
    <w:rsid w:val="00315543"/>
    <w:rsid w:val="00315AC0"/>
    <w:rsid w:val="0031793E"/>
    <w:rsid w:val="0032338C"/>
    <w:rsid w:val="00323F7C"/>
    <w:rsid w:val="00324832"/>
    <w:rsid w:val="00326D20"/>
    <w:rsid w:val="00327D47"/>
    <w:rsid w:val="00336E58"/>
    <w:rsid w:val="003418CB"/>
    <w:rsid w:val="00342615"/>
    <w:rsid w:val="00342770"/>
    <w:rsid w:val="00343585"/>
    <w:rsid w:val="003436F3"/>
    <w:rsid w:val="00345104"/>
    <w:rsid w:val="00350760"/>
    <w:rsid w:val="003508D8"/>
    <w:rsid w:val="003522F0"/>
    <w:rsid w:val="00357799"/>
    <w:rsid w:val="00361B76"/>
    <w:rsid w:val="003629AF"/>
    <w:rsid w:val="0036501C"/>
    <w:rsid w:val="0037413C"/>
    <w:rsid w:val="003743C2"/>
    <w:rsid w:val="00382168"/>
    <w:rsid w:val="00385414"/>
    <w:rsid w:val="003862B1"/>
    <w:rsid w:val="003921EF"/>
    <w:rsid w:val="003938F9"/>
    <w:rsid w:val="00396F3A"/>
    <w:rsid w:val="003A2436"/>
    <w:rsid w:val="003A2789"/>
    <w:rsid w:val="003A4836"/>
    <w:rsid w:val="003A7EF4"/>
    <w:rsid w:val="003B110E"/>
    <w:rsid w:val="003B2C09"/>
    <w:rsid w:val="003B3D09"/>
    <w:rsid w:val="003B7301"/>
    <w:rsid w:val="003C1687"/>
    <w:rsid w:val="003C373C"/>
    <w:rsid w:val="003C3EF8"/>
    <w:rsid w:val="003C44D6"/>
    <w:rsid w:val="003D1476"/>
    <w:rsid w:val="003D2CBF"/>
    <w:rsid w:val="003E6429"/>
    <w:rsid w:val="003E7E5E"/>
    <w:rsid w:val="003F0088"/>
    <w:rsid w:val="003F551C"/>
    <w:rsid w:val="003F5F42"/>
    <w:rsid w:val="003F6272"/>
    <w:rsid w:val="003F6E72"/>
    <w:rsid w:val="003F6EF3"/>
    <w:rsid w:val="00401B23"/>
    <w:rsid w:val="00403E73"/>
    <w:rsid w:val="00405374"/>
    <w:rsid w:val="00405EC6"/>
    <w:rsid w:val="0040758B"/>
    <w:rsid w:val="00413E03"/>
    <w:rsid w:val="0042258F"/>
    <w:rsid w:val="00422857"/>
    <w:rsid w:val="00422F52"/>
    <w:rsid w:val="004230FA"/>
    <w:rsid w:val="004250C1"/>
    <w:rsid w:val="00425CA2"/>
    <w:rsid w:val="00425EBD"/>
    <w:rsid w:val="00432A43"/>
    <w:rsid w:val="00433995"/>
    <w:rsid w:val="004345A4"/>
    <w:rsid w:val="00435879"/>
    <w:rsid w:val="00436FB8"/>
    <w:rsid w:val="00440C98"/>
    <w:rsid w:val="0044223E"/>
    <w:rsid w:val="004464C4"/>
    <w:rsid w:val="00447CAD"/>
    <w:rsid w:val="00451844"/>
    <w:rsid w:val="00452456"/>
    <w:rsid w:val="00453344"/>
    <w:rsid w:val="00455B1A"/>
    <w:rsid w:val="00463059"/>
    <w:rsid w:val="00465578"/>
    <w:rsid w:val="00466D91"/>
    <w:rsid w:val="004670A8"/>
    <w:rsid w:val="00470B89"/>
    <w:rsid w:val="004716AD"/>
    <w:rsid w:val="00476078"/>
    <w:rsid w:val="00477DCF"/>
    <w:rsid w:val="00480D9E"/>
    <w:rsid w:val="00485D68"/>
    <w:rsid w:val="00491896"/>
    <w:rsid w:val="00491EA6"/>
    <w:rsid w:val="0049755E"/>
    <w:rsid w:val="0049777B"/>
    <w:rsid w:val="004A06E7"/>
    <w:rsid w:val="004A2695"/>
    <w:rsid w:val="004A2F28"/>
    <w:rsid w:val="004A3AE6"/>
    <w:rsid w:val="004A3F64"/>
    <w:rsid w:val="004A50E7"/>
    <w:rsid w:val="004A7044"/>
    <w:rsid w:val="004A772D"/>
    <w:rsid w:val="004B03C8"/>
    <w:rsid w:val="004B1651"/>
    <w:rsid w:val="004C0290"/>
    <w:rsid w:val="004C1014"/>
    <w:rsid w:val="004C1327"/>
    <w:rsid w:val="004C4202"/>
    <w:rsid w:val="004C59D4"/>
    <w:rsid w:val="004C7831"/>
    <w:rsid w:val="004D08DA"/>
    <w:rsid w:val="004D0C90"/>
    <w:rsid w:val="004D4055"/>
    <w:rsid w:val="004D75F2"/>
    <w:rsid w:val="004E258B"/>
    <w:rsid w:val="004E55C9"/>
    <w:rsid w:val="004F1904"/>
    <w:rsid w:val="004F2736"/>
    <w:rsid w:val="004F289B"/>
    <w:rsid w:val="004F48A2"/>
    <w:rsid w:val="004F5F8C"/>
    <w:rsid w:val="004F68B4"/>
    <w:rsid w:val="005003DD"/>
    <w:rsid w:val="0050045C"/>
    <w:rsid w:val="0050486D"/>
    <w:rsid w:val="005066FE"/>
    <w:rsid w:val="0051095D"/>
    <w:rsid w:val="005201BB"/>
    <w:rsid w:val="0052162C"/>
    <w:rsid w:val="00523F8D"/>
    <w:rsid w:val="0053006F"/>
    <w:rsid w:val="005353E1"/>
    <w:rsid w:val="005370FF"/>
    <w:rsid w:val="00540FC2"/>
    <w:rsid w:val="00546978"/>
    <w:rsid w:val="005513BA"/>
    <w:rsid w:val="00560DED"/>
    <w:rsid w:val="00565D27"/>
    <w:rsid w:val="00566CA8"/>
    <w:rsid w:val="00570BA5"/>
    <w:rsid w:val="00575585"/>
    <w:rsid w:val="005757C2"/>
    <w:rsid w:val="00585E03"/>
    <w:rsid w:val="005865C3"/>
    <w:rsid w:val="00590210"/>
    <w:rsid w:val="00590225"/>
    <w:rsid w:val="00594FF0"/>
    <w:rsid w:val="0059703A"/>
    <w:rsid w:val="005A0D08"/>
    <w:rsid w:val="005A2D55"/>
    <w:rsid w:val="005A5D07"/>
    <w:rsid w:val="005A6BE6"/>
    <w:rsid w:val="005B16DC"/>
    <w:rsid w:val="005B3429"/>
    <w:rsid w:val="005B3B32"/>
    <w:rsid w:val="005B4167"/>
    <w:rsid w:val="005C2856"/>
    <w:rsid w:val="005D007D"/>
    <w:rsid w:val="005D123E"/>
    <w:rsid w:val="005D2EE8"/>
    <w:rsid w:val="005D3807"/>
    <w:rsid w:val="005D5F34"/>
    <w:rsid w:val="005E17BF"/>
    <w:rsid w:val="005E22C4"/>
    <w:rsid w:val="005E3C53"/>
    <w:rsid w:val="005E7E5F"/>
    <w:rsid w:val="005F7FD2"/>
    <w:rsid w:val="006039E0"/>
    <w:rsid w:val="00605696"/>
    <w:rsid w:val="00614560"/>
    <w:rsid w:val="006154BF"/>
    <w:rsid w:val="00616BE0"/>
    <w:rsid w:val="00620359"/>
    <w:rsid w:val="00621C70"/>
    <w:rsid w:val="00623567"/>
    <w:rsid w:val="00625279"/>
    <w:rsid w:val="00631097"/>
    <w:rsid w:val="0063196E"/>
    <w:rsid w:val="00632B80"/>
    <w:rsid w:val="00633B41"/>
    <w:rsid w:val="00635F6B"/>
    <w:rsid w:val="00636DFA"/>
    <w:rsid w:val="00640BAD"/>
    <w:rsid w:val="0064327A"/>
    <w:rsid w:val="006445BE"/>
    <w:rsid w:val="006512E9"/>
    <w:rsid w:val="0065379B"/>
    <w:rsid w:val="00653982"/>
    <w:rsid w:val="00661E64"/>
    <w:rsid w:val="00662FAC"/>
    <w:rsid w:val="00663DBF"/>
    <w:rsid w:val="0066680B"/>
    <w:rsid w:val="006676B7"/>
    <w:rsid w:val="006678C8"/>
    <w:rsid w:val="00670775"/>
    <w:rsid w:val="0067181C"/>
    <w:rsid w:val="00673BAB"/>
    <w:rsid w:val="00674558"/>
    <w:rsid w:val="006845B0"/>
    <w:rsid w:val="006849D3"/>
    <w:rsid w:val="00684C32"/>
    <w:rsid w:val="006935A9"/>
    <w:rsid w:val="00693FA5"/>
    <w:rsid w:val="0069518A"/>
    <w:rsid w:val="006954B9"/>
    <w:rsid w:val="00695680"/>
    <w:rsid w:val="006957DF"/>
    <w:rsid w:val="00696EAB"/>
    <w:rsid w:val="00697099"/>
    <w:rsid w:val="00697C35"/>
    <w:rsid w:val="006A123C"/>
    <w:rsid w:val="006A3A5B"/>
    <w:rsid w:val="006B01F3"/>
    <w:rsid w:val="006B2CB4"/>
    <w:rsid w:val="006B48E0"/>
    <w:rsid w:val="006B75F3"/>
    <w:rsid w:val="006C1626"/>
    <w:rsid w:val="006C60E3"/>
    <w:rsid w:val="006D0874"/>
    <w:rsid w:val="006D0C50"/>
    <w:rsid w:val="006D4041"/>
    <w:rsid w:val="006D46E2"/>
    <w:rsid w:val="006D5360"/>
    <w:rsid w:val="006D6AFB"/>
    <w:rsid w:val="006D76F6"/>
    <w:rsid w:val="006E18B8"/>
    <w:rsid w:val="006E2262"/>
    <w:rsid w:val="006E64CA"/>
    <w:rsid w:val="006F1137"/>
    <w:rsid w:val="006F15F7"/>
    <w:rsid w:val="006F179D"/>
    <w:rsid w:val="006F529E"/>
    <w:rsid w:val="00705FE1"/>
    <w:rsid w:val="00711E72"/>
    <w:rsid w:val="00712F61"/>
    <w:rsid w:val="0071406C"/>
    <w:rsid w:val="00715EF1"/>
    <w:rsid w:val="0072140A"/>
    <w:rsid w:val="00721BDF"/>
    <w:rsid w:val="007224E0"/>
    <w:rsid w:val="00727933"/>
    <w:rsid w:val="007325BF"/>
    <w:rsid w:val="007430F9"/>
    <w:rsid w:val="00744C89"/>
    <w:rsid w:val="007456AF"/>
    <w:rsid w:val="007459BD"/>
    <w:rsid w:val="0075136D"/>
    <w:rsid w:val="00751803"/>
    <w:rsid w:val="0076142E"/>
    <w:rsid w:val="00762107"/>
    <w:rsid w:val="00773457"/>
    <w:rsid w:val="0077607E"/>
    <w:rsid w:val="007762EC"/>
    <w:rsid w:val="0077754A"/>
    <w:rsid w:val="00777AA0"/>
    <w:rsid w:val="00783CE3"/>
    <w:rsid w:val="00784216"/>
    <w:rsid w:val="007867F9"/>
    <w:rsid w:val="00786AA9"/>
    <w:rsid w:val="007876A6"/>
    <w:rsid w:val="00794723"/>
    <w:rsid w:val="0079564C"/>
    <w:rsid w:val="007A130B"/>
    <w:rsid w:val="007A4E17"/>
    <w:rsid w:val="007B18B3"/>
    <w:rsid w:val="007B2EFA"/>
    <w:rsid w:val="007B3AC3"/>
    <w:rsid w:val="007B431C"/>
    <w:rsid w:val="007B48F3"/>
    <w:rsid w:val="007C56C3"/>
    <w:rsid w:val="007C57ED"/>
    <w:rsid w:val="007C6679"/>
    <w:rsid w:val="007C6F85"/>
    <w:rsid w:val="007D2F84"/>
    <w:rsid w:val="007D3D90"/>
    <w:rsid w:val="007D644A"/>
    <w:rsid w:val="007E1E3B"/>
    <w:rsid w:val="007E1E90"/>
    <w:rsid w:val="007E1EC3"/>
    <w:rsid w:val="007E408A"/>
    <w:rsid w:val="007E4807"/>
    <w:rsid w:val="007F0474"/>
    <w:rsid w:val="007F26FA"/>
    <w:rsid w:val="007F5697"/>
    <w:rsid w:val="008011AB"/>
    <w:rsid w:val="0080151E"/>
    <w:rsid w:val="0080159B"/>
    <w:rsid w:val="00810B7B"/>
    <w:rsid w:val="00812F7C"/>
    <w:rsid w:val="00812FAC"/>
    <w:rsid w:val="00812FE7"/>
    <w:rsid w:val="008149F4"/>
    <w:rsid w:val="00820DA3"/>
    <w:rsid w:val="008216AE"/>
    <w:rsid w:val="0082367C"/>
    <w:rsid w:val="0082386D"/>
    <w:rsid w:val="00827889"/>
    <w:rsid w:val="008308DE"/>
    <w:rsid w:val="00830D9B"/>
    <w:rsid w:val="00832DB2"/>
    <w:rsid w:val="00832FE5"/>
    <w:rsid w:val="0083562E"/>
    <w:rsid w:val="00835F16"/>
    <w:rsid w:val="00836169"/>
    <w:rsid w:val="008401A1"/>
    <w:rsid w:val="00842782"/>
    <w:rsid w:val="00844F8C"/>
    <w:rsid w:val="00846292"/>
    <w:rsid w:val="00846ECA"/>
    <w:rsid w:val="00847946"/>
    <w:rsid w:val="00850007"/>
    <w:rsid w:val="00851291"/>
    <w:rsid w:val="00851EED"/>
    <w:rsid w:val="00852490"/>
    <w:rsid w:val="00854CB6"/>
    <w:rsid w:val="00861753"/>
    <w:rsid w:val="00863E95"/>
    <w:rsid w:val="00864D37"/>
    <w:rsid w:val="008700DF"/>
    <w:rsid w:val="008814B9"/>
    <w:rsid w:val="00883F32"/>
    <w:rsid w:val="00883F3B"/>
    <w:rsid w:val="008855F5"/>
    <w:rsid w:val="00891F44"/>
    <w:rsid w:val="0089622D"/>
    <w:rsid w:val="008A498F"/>
    <w:rsid w:val="008A7CC9"/>
    <w:rsid w:val="008B57B6"/>
    <w:rsid w:val="008B6C79"/>
    <w:rsid w:val="008C26C1"/>
    <w:rsid w:val="008C2AE3"/>
    <w:rsid w:val="008C4F0C"/>
    <w:rsid w:val="008C6B60"/>
    <w:rsid w:val="008C6D55"/>
    <w:rsid w:val="008D2DD1"/>
    <w:rsid w:val="008E1722"/>
    <w:rsid w:val="008E2FA0"/>
    <w:rsid w:val="008F0949"/>
    <w:rsid w:val="008F2EAD"/>
    <w:rsid w:val="00901887"/>
    <w:rsid w:val="00905637"/>
    <w:rsid w:val="00905BB8"/>
    <w:rsid w:val="009137FC"/>
    <w:rsid w:val="00913C55"/>
    <w:rsid w:val="0091766A"/>
    <w:rsid w:val="00922000"/>
    <w:rsid w:val="0092214D"/>
    <w:rsid w:val="00922F49"/>
    <w:rsid w:val="00922F5F"/>
    <w:rsid w:val="00937962"/>
    <w:rsid w:val="0094136D"/>
    <w:rsid w:val="00944B90"/>
    <w:rsid w:val="009469D5"/>
    <w:rsid w:val="00950527"/>
    <w:rsid w:val="00950DC8"/>
    <w:rsid w:val="00952318"/>
    <w:rsid w:val="00952C5D"/>
    <w:rsid w:val="00953A1F"/>
    <w:rsid w:val="009548B1"/>
    <w:rsid w:val="0095541D"/>
    <w:rsid w:val="009554A5"/>
    <w:rsid w:val="00955A73"/>
    <w:rsid w:val="00957E98"/>
    <w:rsid w:val="00961048"/>
    <w:rsid w:val="00972DFA"/>
    <w:rsid w:val="009736F2"/>
    <w:rsid w:val="00975B13"/>
    <w:rsid w:val="00976D8F"/>
    <w:rsid w:val="00980F96"/>
    <w:rsid w:val="00983EB8"/>
    <w:rsid w:val="0098683E"/>
    <w:rsid w:val="009870BD"/>
    <w:rsid w:val="00987DA9"/>
    <w:rsid w:val="00987DF1"/>
    <w:rsid w:val="00987E17"/>
    <w:rsid w:val="00995F97"/>
    <w:rsid w:val="00997654"/>
    <w:rsid w:val="00997B01"/>
    <w:rsid w:val="009A50B0"/>
    <w:rsid w:val="009A6A33"/>
    <w:rsid w:val="009A777D"/>
    <w:rsid w:val="009B03C8"/>
    <w:rsid w:val="009B43CF"/>
    <w:rsid w:val="009B7020"/>
    <w:rsid w:val="009C077D"/>
    <w:rsid w:val="009C55C3"/>
    <w:rsid w:val="009C67CA"/>
    <w:rsid w:val="009D0B2B"/>
    <w:rsid w:val="009D266F"/>
    <w:rsid w:val="009E0FB4"/>
    <w:rsid w:val="009E3479"/>
    <w:rsid w:val="009E4264"/>
    <w:rsid w:val="009F0367"/>
    <w:rsid w:val="009F202C"/>
    <w:rsid w:val="009F4C83"/>
    <w:rsid w:val="009F4D19"/>
    <w:rsid w:val="009F6B75"/>
    <w:rsid w:val="009F6FA0"/>
    <w:rsid w:val="00A00A87"/>
    <w:rsid w:val="00A052ED"/>
    <w:rsid w:val="00A05FDF"/>
    <w:rsid w:val="00A12437"/>
    <w:rsid w:val="00A13B9D"/>
    <w:rsid w:val="00A15823"/>
    <w:rsid w:val="00A17780"/>
    <w:rsid w:val="00A20256"/>
    <w:rsid w:val="00A20357"/>
    <w:rsid w:val="00A235DE"/>
    <w:rsid w:val="00A24F3B"/>
    <w:rsid w:val="00A2560E"/>
    <w:rsid w:val="00A27552"/>
    <w:rsid w:val="00A310BF"/>
    <w:rsid w:val="00A34E6B"/>
    <w:rsid w:val="00A37B12"/>
    <w:rsid w:val="00A40898"/>
    <w:rsid w:val="00A41338"/>
    <w:rsid w:val="00A420AD"/>
    <w:rsid w:val="00A45B83"/>
    <w:rsid w:val="00A50D7E"/>
    <w:rsid w:val="00A51290"/>
    <w:rsid w:val="00A52330"/>
    <w:rsid w:val="00A54840"/>
    <w:rsid w:val="00A601AD"/>
    <w:rsid w:val="00A60314"/>
    <w:rsid w:val="00A609B4"/>
    <w:rsid w:val="00A61C2B"/>
    <w:rsid w:val="00A6438F"/>
    <w:rsid w:val="00A64A7D"/>
    <w:rsid w:val="00A70562"/>
    <w:rsid w:val="00A754D0"/>
    <w:rsid w:val="00A759D9"/>
    <w:rsid w:val="00A82EE1"/>
    <w:rsid w:val="00A922B2"/>
    <w:rsid w:val="00A95134"/>
    <w:rsid w:val="00A96005"/>
    <w:rsid w:val="00AA24C4"/>
    <w:rsid w:val="00AA4178"/>
    <w:rsid w:val="00AA5081"/>
    <w:rsid w:val="00AA6234"/>
    <w:rsid w:val="00AB49B3"/>
    <w:rsid w:val="00AC04D3"/>
    <w:rsid w:val="00AC12DC"/>
    <w:rsid w:val="00AC3350"/>
    <w:rsid w:val="00AC7C23"/>
    <w:rsid w:val="00AD1658"/>
    <w:rsid w:val="00AD235F"/>
    <w:rsid w:val="00AD449C"/>
    <w:rsid w:val="00AE0A59"/>
    <w:rsid w:val="00AE2F39"/>
    <w:rsid w:val="00AE3368"/>
    <w:rsid w:val="00AE4055"/>
    <w:rsid w:val="00AE5025"/>
    <w:rsid w:val="00AE5C22"/>
    <w:rsid w:val="00AF30BD"/>
    <w:rsid w:val="00AF3D0E"/>
    <w:rsid w:val="00AF52BF"/>
    <w:rsid w:val="00AF6A47"/>
    <w:rsid w:val="00AF7419"/>
    <w:rsid w:val="00B02967"/>
    <w:rsid w:val="00B029ED"/>
    <w:rsid w:val="00B21BD3"/>
    <w:rsid w:val="00B228E7"/>
    <w:rsid w:val="00B23255"/>
    <w:rsid w:val="00B23E6B"/>
    <w:rsid w:val="00B25182"/>
    <w:rsid w:val="00B255CE"/>
    <w:rsid w:val="00B25D78"/>
    <w:rsid w:val="00B305B8"/>
    <w:rsid w:val="00B36D40"/>
    <w:rsid w:val="00B40E6D"/>
    <w:rsid w:val="00B44E7F"/>
    <w:rsid w:val="00B45A00"/>
    <w:rsid w:val="00B46237"/>
    <w:rsid w:val="00B467C6"/>
    <w:rsid w:val="00B467EF"/>
    <w:rsid w:val="00B54056"/>
    <w:rsid w:val="00B560D5"/>
    <w:rsid w:val="00B56FF6"/>
    <w:rsid w:val="00B57EC3"/>
    <w:rsid w:val="00B600AC"/>
    <w:rsid w:val="00B6010B"/>
    <w:rsid w:val="00B60AE4"/>
    <w:rsid w:val="00B60FCE"/>
    <w:rsid w:val="00B63173"/>
    <w:rsid w:val="00B70191"/>
    <w:rsid w:val="00B70667"/>
    <w:rsid w:val="00B73C77"/>
    <w:rsid w:val="00B86127"/>
    <w:rsid w:val="00B86909"/>
    <w:rsid w:val="00B87046"/>
    <w:rsid w:val="00B91A3E"/>
    <w:rsid w:val="00B9299F"/>
    <w:rsid w:val="00B94B38"/>
    <w:rsid w:val="00BA0EC7"/>
    <w:rsid w:val="00BA135E"/>
    <w:rsid w:val="00BA26BE"/>
    <w:rsid w:val="00BA58D0"/>
    <w:rsid w:val="00BA5FAA"/>
    <w:rsid w:val="00BA7F2E"/>
    <w:rsid w:val="00BB3CEA"/>
    <w:rsid w:val="00BB6D15"/>
    <w:rsid w:val="00BB6DCC"/>
    <w:rsid w:val="00BB6EB8"/>
    <w:rsid w:val="00BB78B9"/>
    <w:rsid w:val="00BC1417"/>
    <w:rsid w:val="00BC2E6E"/>
    <w:rsid w:val="00BC3ED6"/>
    <w:rsid w:val="00BC642A"/>
    <w:rsid w:val="00BD1918"/>
    <w:rsid w:val="00BD22CC"/>
    <w:rsid w:val="00BE1231"/>
    <w:rsid w:val="00BE235D"/>
    <w:rsid w:val="00BE5772"/>
    <w:rsid w:val="00BE6074"/>
    <w:rsid w:val="00BF2C04"/>
    <w:rsid w:val="00BF300D"/>
    <w:rsid w:val="00C00D3D"/>
    <w:rsid w:val="00C012E9"/>
    <w:rsid w:val="00C01F08"/>
    <w:rsid w:val="00C03D34"/>
    <w:rsid w:val="00C11383"/>
    <w:rsid w:val="00C119A0"/>
    <w:rsid w:val="00C12C7B"/>
    <w:rsid w:val="00C16A8A"/>
    <w:rsid w:val="00C17BDD"/>
    <w:rsid w:val="00C20CA8"/>
    <w:rsid w:val="00C26FED"/>
    <w:rsid w:val="00C27367"/>
    <w:rsid w:val="00C27445"/>
    <w:rsid w:val="00C27B8C"/>
    <w:rsid w:val="00C35282"/>
    <w:rsid w:val="00C354D5"/>
    <w:rsid w:val="00C37427"/>
    <w:rsid w:val="00C41920"/>
    <w:rsid w:val="00C443E5"/>
    <w:rsid w:val="00C45883"/>
    <w:rsid w:val="00C52CCA"/>
    <w:rsid w:val="00C52FDA"/>
    <w:rsid w:val="00C54728"/>
    <w:rsid w:val="00C55175"/>
    <w:rsid w:val="00C55422"/>
    <w:rsid w:val="00C5702A"/>
    <w:rsid w:val="00C57212"/>
    <w:rsid w:val="00C60AA1"/>
    <w:rsid w:val="00C63443"/>
    <w:rsid w:val="00C64A7C"/>
    <w:rsid w:val="00C71A40"/>
    <w:rsid w:val="00C739CE"/>
    <w:rsid w:val="00C77FD4"/>
    <w:rsid w:val="00C82755"/>
    <w:rsid w:val="00C858B8"/>
    <w:rsid w:val="00C911B3"/>
    <w:rsid w:val="00C9154E"/>
    <w:rsid w:val="00C95245"/>
    <w:rsid w:val="00C97F40"/>
    <w:rsid w:val="00CA22A0"/>
    <w:rsid w:val="00CA288B"/>
    <w:rsid w:val="00CA40C5"/>
    <w:rsid w:val="00CA4A37"/>
    <w:rsid w:val="00CA56D5"/>
    <w:rsid w:val="00CA5C98"/>
    <w:rsid w:val="00CA5FCD"/>
    <w:rsid w:val="00CB0D49"/>
    <w:rsid w:val="00CB3DEC"/>
    <w:rsid w:val="00CC1228"/>
    <w:rsid w:val="00CC2166"/>
    <w:rsid w:val="00CC36F7"/>
    <w:rsid w:val="00CC371E"/>
    <w:rsid w:val="00CC5042"/>
    <w:rsid w:val="00CC67B7"/>
    <w:rsid w:val="00CC7168"/>
    <w:rsid w:val="00CC747C"/>
    <w:rsid w:val="00CC7B32"/>
    <w:rsid w:val="00CD563F"/>
    <w:rsid w:val="00CD5F70"/>
    <w:rsid w:val="00CD66FE"/>
    <w:rsid w:val="00CD7FE5"/>
    <w:rsid w:val="00CE05FB"/>
    <w:rsid w:val="00CE1A46"/>
    <w:rsid w:val="00CE1A55"/>
    <w:rsid w:val="00CE1ADD"/>
    <w:rsid w:val="00CE2F7A"/>
    <w:rsid w:val="00CE5725"/>
    <w:rsid w:val="00CE6A17"/>
    <w:rsid w:val="00CE780F"/>
    <w:rsid w:val="00CF1B4E"/>
    <w:rsid w:val="00CF1E19"/>
    <w:rsid w:val="00CF21B8"/>
    <w:rsid w:val="00CF3145"/>
    <w:rsid w:val="00CF443E"/>
    <w:rsid w:val="00D02900"/>
    <w:rsid w:val="00D03CE6"/>
    <w:rsid w:val="00D04238"/>
    <w:rsid w:val="00D04B19"/>
    <w:rsid w:val="00D04E91"/>
    <w:rsid w:val="00D053DA"/>
    <w:rsid w:val="00D060B6"/>
    <w:rsid w:val="00D12A0D"/>
    <w:rsid w:val="00D17A2E"/>
    <w:rsid w:val="00D21D7A"/>
    <w:rsid w:val="00D23287"/>
    <w:rsid w:val="00D23D19"/>
    <w:rsid w:val="00D26AAE"/>
    <w:rsid w:val="00D27C22"/>
    <w:rsid w:val="00D27DE2"/>
    <w:rsid w:val="00D321EF"/>
    <w:rsid w:val="00D37270"/>
    <w:rsid w:val="00D40460"/>
    <w:rsid w:val="00D40C3A"/>
    <w:rsid w:val="00D451E7"/>
    <w:rsid w:val="00D46147"/>
    <w:rsid w:val="00D52B53"/>
    <w:rsid w:val="00D53021"/>
    <w:rsid w:val="00D54231"/>
    <w:rsid w:val="00D55A0C"/>
    <w:rsid w:val="00D55BEA"/>
    <w:rsid w:val="00D57670"/>
    <w:rsid w:val="00D60E05"/>
    <w:rsid w:val="00D60EB4"/>
    <w:rsid w:val="00D614D6"/>
    <w:rsid w:val="00D61CBA"/>
    <w:rsid w:val="00D66A18"/>
    <w:rsid w:val="00D67D19"/>
    <w:rsid w:val="00D712E0"/>
    <w:rsid w:val="00D723A4"/>
    <w:rsid w:val="00D755B5"/>
    <w:rsid w:val="00D7613B"/>
    <w:rsid w:val="00D81CF7"/>
    <w:rsid w:val="00D87403"/>
    <w:rsid w:val="00D875EA"/>
    <w:rsid w:val="00D87C5A"/>
    <w:rsid w:val="00D90B2E"/>
    <w:rsid w:val="00D920CE"/>
    <w:rsid w:val="00D93489"/>
    <w:rsid w:val="00D94428"/>
    <w:rsid w:val="00DA210A"/>
    <w:rsid w:val="00DA26F2"/>
    <w:rsid w:val="00DA4039"/>
    <w:rsid w:val="00DA5396"/>
    <w:rsid w:val="00DB0C9F"/>
    <w:rsid w:val="00DB21D7"/>
    <w:rsid w:val="00DB2B7F"/>
    <w:rsid w:val="00DB53D9"/>
    <w:rsid w:val="00DB69EC"/>
    <w:rsid w:val="00DC13A8"/>
    <w:rsid w:val="00DC1E48"/>
    <w:rsid w:val="00DC3FE8"/>
    <w:rsid w:val="00DC47E2"/>
    <w:rsid w:val="00DC76C7"/>
    <w:rsid w:val="00DD23F8"/>
    <w:rsid w:val="00DD3147"/>
    <w:rsid w:val="00DD315D"/>
    <w:rsid w:val="00DE282F"/>
    <w:rsid w:val="00DE321D"/>
    <w:rsid w:val="00DE4BAA"/>
    <w:rsid w:val="00DE5D4F"/>
    <w:rsid w:val="00DE67CB"/>
    <w:rsid w:val="00DF0BD7"/>
    <w:rsid w:val="00E02656"/>
    <w:rsid w:val="00E03BD5"/>
    <w:rsid w:val="00E149C7"/>
    <w:rsid w:val="00E1679F"/>
    <w:rsid w:val="00E16E3A"/>
    <w:rsid w:val="00E3024F"/>
    <w:rsid w:val="00E315C2"/>
    <w:rsid w:val="00E31D8A"/>
    <w:rsid w:val="00E32942"/>
    <w:rsid w:val="00E34145"/>
    <w:rsid w:val="00E41BB2"/>
    <w:rsid w:val="00E42235"/>
    <w:rsid w:val="00E53CA8"/>
    <w:rsid w:val="00E53D6D"/>
    <w:rsid w:val="00E543B1"/>
    <w:rsid w:val="00E55C28"/>
    <w:rsid w:val="00E55E52"/>
    <w:rsid w:val="00E567E7"/>
    <w:rsid w:val="00E600C8"/>
    <w:rsid w:val="00E604EC"/>
    <w:rsid w:val="00E60F2D"/>
    <w:rsid w:val="00E64C9F"/>
    <w:rsid w:val="00E653B3"/>
    <w:rsid w:val="00E804EC"/>
    <w:rsid w:val="00E816AB"/>
    <w:rsid w:val="00E81852"/>
    <w:rsid w:val="00E82D9E"/>
    <w:rsid w:val="00E83D83"/>
    <w:rsid w:val="00E85E52"/>
    <w:rsid w:val="00E918CB"/>
    <w:rsid w:val="00E92631"/>
    <w:rsid w:val="00E94152"/>
    <w:rsid w:val="00E9472B"/>
    <w:rsid w:val="00E95C2F"/>
    <w:rsid w:val="00E96C7C"/>
    <w:rsid w:val="00EA0A0C"/>
    <w:rsid w:val="00EA3387"/>
    <w:rsid w:val="00EA7F8D"/>
    <w:rsid w:val="00EB1908"/>
    <w:rsid w:val="00EB200D"/>
    <w:rsid w:val="00EB5B76"/>
    <w:rsid w:val="00EB6BC4"/>
    <w:rsid w:val="00EB6E00"/>
    <w:rsid w:val="00EC0C73"/>
    <w:rsid w:val="00EC12EA"/>
    <w:rsid w:val="00EC4EAD"/>
    <w:rsid w:val="00ED16EE"/>
    <w:rsid w:val="00ED1E56"/>
    <w:rsid w:val="00ED53C6"/>
    <w:rsid w:val="00ED5763"/>
    <w:rsid w:val="00ED7B8D"/>
    <w:rsid w:val="00EE05DA"/>
    <w:rsid w:val="00EE1938"/>
    <w:rsid w:val="00EE2B47"/>
    <w:rsid w:val="00EF031D"/>
    <w:rsid w:val="00EF114A"/>
    <w:rsid w:val="00EF1815"/>
    <w:rsid w:val="00EF1B2C"/>
    <w:rsid w:val="00EF268A"/>
    <w:rsid w:val="00EF2CB5"/>
    <w:rsid w:val="00EF58C5"/>
    <w:rsid w:val="00EF629C"/>
    <w:rsid w:val="00EF6A8D"/>
    <w:rsid w:val="00F0003C"/>
    <w:rsid w:val="00F03865"/>
    <w:rsid w:val="00F04F5B"/>
    <w:rsid w:val="00F07F41"/>
    <w:rsid w:val="00F12C35"/>
    <w:rsid w:val="00F26C2E"/>
    <w:rsid w:val="00F302E9"/>
    <w:rsid w:val="00F3089B"/>
    <w:rsid w:val="00F3091D"/>
    <w:rsid w:val="00F30D58"/>
    <w:rsid w:val="00F338CE"/>
    <w:rsid w:val="00F33C5A"/>
    <w:rsid w:val="00F33E02"/>
    <w:rsid w:val="00F34360"/>
    <w:rsid w:val="00F34984"/>
    <w:rsid w:val="00F34D68"/>
    <w:rsid w:val="00F41D37"/>
    <w:rsid w:val="00F42E36"/>
    <w:rsid w:val="00F449B7"/>
    <w:rsid w:val="00F4580C"/>
    <w:rsid w:val="00F602B8"/>
    <w:rsid w:val="00F60CA0"/>
    <w:rsid w:val="00F64869"/>
    <w:rsid w:val="00F64E81"/>
    <w:rsid w:val="00F653D0"/>
    <w:rsid w:val="00F65D43"/>
    <w:rsid w:val="00F66522"/>
    <w:rsid w:val="00F66771"/>
    <w:rsid w:val="00F66CF5"/>
    <w:rsid w:val="00F7269F"/>
    <w:rsid w:val="00F73A73"/>
    <w:rsid w:val="00F761E8"/>
    <w:rsid w:val="00F87C1B"/>
    <w:rsid w:val="00F90AB1"/>
    <w:rsid w:val="00F93DF1"/>
    <w:rsid w:val="00F96A66"/>
    <w:rsid w:val="00F96B03"/>
    <w:rsid w:val="00F9717E"/>
    <w:rsid w:val="00FA25BA"/>
    <w:rsid w:val="00FA3749"/>
    <w:rsid w:val="00FB786F"/>
    <w:rsid w:val="00FC4B9F"/>
    <w:rsid w:val="00FC6C3F"/>
    <w:rsid w:val="00FC6F88"/>
    <w:rsid w:val="00FC7F14"/>
    <w:rsid w:val="00FD0A2B"/>
    <w:rsid w:val="00FD303C"/>
    <w:rsid w:val="00FD3B59"/>
    <w:rsid w:val="00FD7593"/>
    <w:rsid w:val="00FE1406"/>
    <w:rsid w:val="00FE1C07"/>
    <w:rsid w:val="00FE3337"/>
    <w:rsid w:val="00FE4C93"/>
    <w:rsid w:val="00FE5AC9"/>
    <w:rsid w:val="00FE7FC6"/>
    <w:rsid w:val="00FF067A"/>
    <w:rsid w:val="00FF31AC"/>
  </w:rsids>
  <m:mathPr>
    <m:mathFont m:val="Cambria Math"/>
    <m:brkBin m:val="before"/>
    <m:brkBinSub m:val="--"/>
    <m:smallFrac m:val="0"/>
    <m:dispDef/>
    <m:lMargin m:val="0"/>
    <m:rMargin m:val="0"/>
    <m:defJc m:val="centerGroup"/>
    <m:wrapIndent m:val="1440"/>
    <m:intLim m:val="subSup"/>
    <m:naryLim m:val="undOvr"/>
  </m:mathPr>
  <w:themeFontLang w:val="pt-BR" w:bidi="pa-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CD41C5"/>
  <w15:docId w15:val="{99B765B0-8B6E-4D06-9184-6F926C7685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5883"/>
    <w:pPr>
      <w:spacing w:before="160" w:line="360" w:lineRule="auto"/>
      <w:jc w:val="both"/>
    </w:pPr>
    <w:rPr>
      <w:rFonts w:ascii="Arial" w:hAnsi="Arial"/>
      <w:sz w:val="20"/>
    </w:rPr>
  </w:style>
  <w:style w:type="paragraph" w:styleId="Ttulo1">
    <w:name w:val="heading 1"/>
    <w:basedOn w:val="Normal"/>
    <w:next w:val="Normal"/>
    <w:link w:val="Ttulo1Char"/>
    <w:uiPriority w:val="9"/>
    <w:qFormat/>
    <w:rsid w:val="00E92631"/>
    <w:pPr>
      <w:keepNext/>
      <w:keepLines/>
      <w:numPr>
        <w:numId w:val="1"/>
      </w:numPr>
      <w:spacing w:before="240" w:after="360"/>
      <w:outlineLvl w:val="0"/>
    </w:pPr>
    <w:rPr>
      <w:rFonts w:eastAsiaTheme="majorEastAsia" w:cstheme="majorBidi"/>
      <w:b/>
      <w:caps/>
      <w:szCs w:val="32"/>
    </w:rPr>
  </w:style>
  <w:style w:type="paragraph" w:styleId="Ttulo2">
    <w:name w:val="heading 2"/>
    <w:basedOn w:val="Normal"/>
    <w:next w:val="Normal"/>
    <w:link w:val="Ttulo2Char"/>
    <w:uiPriority w:val="9"/>
    <w:unhideWhenUsed/>
    <w:qFormat/>
    <w:rsid w:val="00883F32"/>
    <w:pPr>
      <w:keepNext/>
      <w:keepLines/>
      <w:numPr>
        <w:ilvl w:val="1"/>
        <w:numId w:val="1"/>
      </w:numPr>
      <w:spacing w:after="240"/>
      <w:ind w:left="578" w:hanging="578"/>
      <w:outlineLvl w:val="1"/>
    </w:pPr>
    <w:rPr>
      <w:rFonts w:eastAsiaTheme="majorEastAsia" w:cstheme="majorBidi"/>
      <w:caps/>
      <w:szCs w:val="26"/>
    </w:rPr>
  </w:style>
  <w:style w:type="paragraph" w:styleId="Ttulo3">
    <w:name w:val="heading 3"/>
    <w:basedOn w:val="Normal"/>
    <w:next w:val="Normal"/>
    <w:link w:val="Ttulo3Char"/>
    <w:uiPriority w:val="9"/>
    <w:unhideWhenUsed/>
    <w:qFormat/>
    <w:rsid w:val="00A82EE1"/>
    <w:pPr>
      <w:keepNext/>
      <w:keepLines/>
      <w:numPr>
        <w:ilvl w:val="2"/>
        <w:numId w:val="1"/>
      </w:numPr>
      <w:spacing w:after="240"/>
      <w:outlineLvl w:val="2"/>
    </w:pPr>
    <w:rPr>
      <w:rFonts w:eastAsiaTheme="majorEastAsia" w:cstheme="majorBidi"/>
      <w:b/>
      <w:szCs w:val="24"/>
    </w:rPr>
  </w:style>
  <w:style w:type="paragraph" w:styleId="Ttulo4">
    <w:name w:val="heading 4"/>
    <w:basedOn w:val="Normal"/>
    <w:next w:val="Normal"/>
    <w:link w:val="Ttulo4Char"/>
    <w:uiPriority w:val="9"/>
    <w:unhideWhenUsed/>
    <w:qFormat/>
    <w:rsid w:val="00E83D83"/>
    <w:pPr>
      <w:keepNext/>
      <w:keepLines/>
      <w:numPr>
        <w:ilvl w:val="3"/>
        <w:numId w:val="1"/>
      </w:numPr>
      <w:ind w:left="0" w:firstLine="0"/>
      <w:outlineLvl w:val="3"/>
    </w:pPr>
    <w:rPr>
      <w:rFonts w:eastAsiaTheme="majorEastAsia" w:cstheme="majorBidi"/>
      <w:iCs/>
    </w:rPr>
  </w:style>
  <w:style w:type="paragraph" w:styleId="Ttulo5">
    <w:name w:val="heading 5"/>
    <w:basedOn w:val="Normal"/>
    <w:next w:val="Normal"/>
    <w:link w:val="Ttulo5Char"/>
    <w:uiPriority w:val="9"/>
    <w:semiHidden/>
    <w:unhideWhenUsed/>
    <w:qFormat/>
    <w:rsid w:val="00952C5D"/>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Ttulo6">
    <w:name w:val="heading 6"/>
    <w:basedOn w:val="Normal"/>
    <w:next w:val="Normal"/>
    <w:link w:val="Ttulo6Char"/>
    <w:uiPriority w:val="9"/>
    <w:semiHidden/>
    <w:unhideWhenUsed/>
    <w:qFormat/>
    <w:rsid w:val="00952C5D"/>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Ttulo7">
    <w:name w:val="heading 7"/>
    <w:basedOn w:val="Normal"/>
    <w:next w:val="Normal"/>
    <w:link w:val="Ttulo7Char"/>
    <w:uiPriority w:val="9"/>
    <w:semiHidden/>
    <w:unhideWhenUsed/>
    <w:qFormat/>
    <w:rsid w:val="00952C5D"/>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Ttulo8">
    <w:name w:val="heading 8"/>
    <w:basedOn w:val="Normal"/>
    <w:next w:val="Normal"/>
    <w:link w:val="Ttulo8Char"/>
    <w:uiPriority w:val="9"/>
    <w:semiHidden/>
    <w:unhideWhenUsed/>
    <w:qFormat/>
    <w:rsid w:val="00952C5D"/>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952C5D"/>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E92631"/>
    <w:rPr>
      <w:rFonts w:ascii="Arial" w:eastAsiaTheme="majorEastAsia" w:hAnsi="Arial" w:cstheme="majorBidi"/>
      <w:b/>
      <w:caps/>
      <w:sz w:val="20"/>
      <w:szCs w:val="32"/>
    </w:rPr>
  </w:style>
  <w:style w:type="character" w:customStyle="1" w:styleId="Ttulo2Char">
    <w:name w:val="Título 2 Char"/>
    <w:basedOn w:val="Fontepargpadro"/>
    <w:link w:val="Ttulo2"/>
    <w:uiPriority w:val="9"/>
    <w:rsid w:val="00883F32"/>
    <w:rPr>
      <w:rFonts w:ascii="Arial" w:eastAsiaTheme="majorEastAsia" w:hAnsi="Arial" w:cstheme="majorBidi"/>
      <w:caps/>
      <w:sz w:val="20"/>
      <w:szCs w:val="26"/>
    </w:rPr>
  </w:style>
  <w:style w:type="character" w:customStyle="1" w:styleId="Ttulo3Char">
    <w:name w:val="Título 3 Char"/>
    <w:basedOn w:val="Fontepargpadro"/>
    <w:link w:val="Ttulo3"/>
    <w:uiPriority w:val="9"/>
    <w:rsid w:val="00A82EE1"/>
    <w:rPr>
      <w:rFonts w:ascii="Arial" w:eastAsiaTheme="majorEastAsia" w:hAnsi="Arial" w:cstheme="majorBidi"/>
      <w:b/>
      <w:sz w:val="20"/>
      <w:szCs w:val="24"/>
    </w:rPr>
  </w:style>
  <w:style w:type="character" w:customStyle="1" w:styleId="Ttulo4Char">
    <w:name w:val="Título 4 Char"/>
    <w:basedOn w:val="Fontepargpadro"/>
    <w:link w:val="Ttulo4"/>
    <w:uiPriority w:val="9"/>
    <w:rsid w:val="00E83D83"/>
    <w:rPr>
      <w:rFonts w:ascii="Arial" w:eastAsiaTheme="majorEastAsia" w:hAnsi="Arial" w:cstheme="majorBidi"/>
      <w:iCs/>
      <w:sz w:val="20"/>
    </w:rPr>
  </w:style>
  <w:style w:type="character" w:customStyle="1" w:styleId="Ttulo5Char">
    <w:name w:val="Título 5 Char"/>
    <w:basedOn w:val="Fontepargpadro"/>
    <w:link w:val="Ttulo5"/>
    <w:uiPriority w:val="9"/>
    <w:semiHidden/>
    <w:rsid w:val="00952C5D"/>
    <w:rPr>
      <w:rFonts w:asciiTheme="majorHAnsi" w:eastAsiaTheme="majorEastAsia" w:hAnsiTheme="majorHAnsi" w:cstheme="majorBidi"/>
      <w:color w:val="2F5496" w:themeColor="accent1" w:themeShade="BF"/>
      <w:sz w:val="20"/>
    </w:rPr>
  </w:style>
  <w:style w:type="character" w:customStyle="1" w:styleId="Ttulo6Char">
    <w:name w:val="Título 6 Char"/>
    <w:basedOn w:val="Fontepargpadro"/>
    <w:link w:val="Ttulo6"/>
    <w:uiPriority w:val="9"/>
    <w:semiHidden/>
    <w:rsid w:val="00952C5D"/>
    <w:rPr>
      <w:rFonts w:asciiTheme="majorHAnsi" w:eastAsiaTheme="majorEastAsia" w:hAnsiTheme="majorHAnsi" w:cstheme="majorBidi"/>
      <w:color w:val="1F3763" w:themeColor="accent1" w:themeShade="7F"/>
      <w:sz w:val="20"/>
    </w:rPr>
  </w:style>
  <w:style w:type="character" w:customStyle="1" w:styleId="Ttulo7Char">
    <w:name w:val="Título 7 Char"/>
    <w:basedOn w:val="Fontepargpadro"/>
    <w:link w:val="Ttulo7"/>
    <w:uiPriority w:val="9"/>
    <w:semiHidden/>
    <w:rsid w:val="00952C5D"/>
    <w:rPr>
      <w:rFonts w:asciiTheme="majorHAnsi" w:eastAsiaTheme="majorEastAsia" w:hAnsiTheme="majorHAnsi" w:cstheme="majorBidi"/>
      <w:i/>
      <w:iCs/>
      <w:color w:val="1F3763" w:themeColor="accent1" w:themeShade="7F"/>
      <w:sz w:val="20"/>
    </w:rPr>
  </w:style>
  <w:style w:type="character" w:customStyle="1" w:styleId="Ttulo8Char">
    <w:name w:val="Título 8 Char"/>
    <w:basedOn w:val="Fontepargpadro"/>
    <w:link w:val="Ttulo8"/>
    <w:uiPriority w:val="9"/>
    <w:semiHidden/>
    <w:rsid w:val="00952C5D"/>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952C5D"/>
    <w:rPr>
      <w:rFonts w:asciiTheme="majorHAnsi" w:eastAsiaTheme="majorEastAsia" w:hAnsiTheme="majorHAnsi" w:cstheme="majorBidi"/>
      <w:i/>
      <w:iCs/>
      <w:color w:val="272727" w:themeColor="text1" w:themeTint="D8"/>
      <w:sz w:val="21"/>
      <w:szCs w:val="21"/>
    </w:rPr>
  </w:style>
  <w:style w:type="paragraph" w:styleId="CabealhodoSumrio">
    <w:name w:val="TOC Heading"/>
    <w:basedOn w:val="Ttulo1"/>
    <w:next w:val="Normal"/>
    <w:uiPriority w:val="39"/>
    <w:unhideWhenUsed/>
    <w:qFormat/>
    <w:rsid w:val="00952C5D"/>
    <w:pPr>
      <w:numPr>
        <w:numId w:val="0"/>
      </w:numPr>
      <w:spacing w:line="259" w:lineRule="auto"/>
      <w:jc w:val="left"/>
      <w:outlineLvl w:val="9"/>
    </w:pPr>
    <w:rPr>
      <w:lang w:eastAsia="pt-BR"/>
    </w:rPr>
  </w:style>
  <w:style w:type="paragraph" w:styleId="Sumrio1">
    <w:name w:val="toc 1"/>
    <w:basedOn w:val="Normal"/>
    <w:next w:val="Normal"/>
    <w:autoRedefine/>
    <w:uiPriority w:val="39"/>
    <w:unhideWhenUsed/>
    <w:rsid w:val="007C56C3"/>
    <w:rPr>
      <w:rFonts w:cstheme="majorHAnsi"/>
      <w:b/>
      <w:bCs/>
      <w:caps/>
      <w:szCs w:val="24"/>
    </w:rPr>
  </w:style>
  <w:style w:type="paragraph" w:styleId="Sumrio2">
    <w:name w:val="toc 2"/>
    <w:basedOn w:val="Normal"/>
    <w:next w:val="Normal"/>
    <w:autoRedefine/>
    <w:uiPriority w:val="39"/>
    <w:unhideWhenUsed/>
    <w:rsid w:val="00883F32"/>
    <w:rPr>
      <w:rFonts w:cstheme="minorHAnsi"/>
      <w:bCs/>
      <w:caps/>
      <w:szCs w:val="20"/>
    </w:rPr>
  </w:style>
  <w:style w:type="character" w:styleId="Hyperlink">
    <w:name w:val="Hyperlink"/>
    <w:basedOn w:val="Fontepargpadro"/>
    <w:uiPriority w:val="99"/>
    <w:unhideWhenUsed/>
    <w:rsid w:val="00952C5D"/>
    <w:rPr>
      <w:color w:val="0563C1" w:themeColor="hyperlink"/>
      <w:u w:val="single"/>
    </w:rPr>
  </w:style>
  <w:style w:type="paragraph" w:styleId="Sumrio3">
    <w:name w:val="toc 3"/>
    <w:basedOn w:val="Normal"/>
    <w:next w:val="Normal"/>
    <w:autoRedefine/>
    <w:uiPriority w:val="39"/>
    <w:unhideWhenUsed/>
    <w:rsid w:val="007C56C3"/>
    <w:rPr>
      <w:rFonts w:cstheme="minorHAnsi"/>
      <w:b/>
      <w:szCs w:val="20"/>
    </w:rPr>
  </w:style>
  <w:style w:type="paragraph" w:styleId="Sumrio4">
    <w:name w:val="toc 4"/>
    <w:basedOn w:val="Normal"/>
    <w:next w:val="Normal"/>
    <w:autoRedefine/>
    <w:uiPriority w:val="39"/>
    <w:unhideWhenUsed/>
    <w:rsid w:val="00883F32"/>
    <w:pPr>
      <w:spacing w:before="0" w:after="0"/>
      <w:ind w:left="400"/>
      <w:jc w:val="left"/>
    </w:pPr>
    <w:rPr>
      <w:rFonts w:asciiTheme="minorHAnsi" w:hAnsiTheme="minorHAnsi" w:cstheme="minorHAnsi"/>
      <w:szCs w:val="20"/>
    </w:rPr>
  </w:style>
  <w:style w:type="paragraph" w:styleId="Sumrio9">
    <w:name w:val="toc 9"/>
    <w:basedOn w:val="Normal"/>
    <w:next w:val="Normal"/>
    <w:autoRedefine/>
    <w:uiPriority w:val="39"/>
    <w:unhideWhenUsed/>
    <w:rsid w:val="00281EDD"/>
    <w:pPr>
      <w:spacing w:before="0" w:after="0"/>
      <w:ind w:left="1400"/>
      <w:jc w:val="left"/>
    </w:pPr>
    <w:rPr>
      <w:rFonts w:asciiTheme="minorHAnsi" w:hAnsiTheme="minorHAnsi" w:cstheme="minorHAnsi"/>
      <w:szCs w:val="20"/>
    </w:rPr>
  </w:style>
  <w:style w:type="paragraph" w:styleId="Sumrio5">
    <w:name w:val="toc 5"/>
    <w:basedOn w:val="Normal"/>
    <w:next w:val="Normal"/>
    <w:autoRedefine/>
    <w:uiPriority w:val="39"/>
    <w:unhideWhenUsed/>
    <w:rsid w:val="00883F32"/>
    <w:pPr>
      <w:spacing w:before="0" w:after="0"/>
      <w:ind w:left="600"/>
      <w:jc w:val="left"/>
    </w:pPr>
    <w:rPr>
      <w:rFonts w:asciiTheme="minorHAnsi" w:hAnsiTheme="minorHAnsi" w:cstheme="minorHAnsi"/>
      <w:szCs w:val="20"/>
    </w:rPr>
  </w:style>
  <w:style w:type="paragraph" w:styleId="Sumrio6">
    <w:name w:val="toc 6"/>
    <w:basedOn w:val="Normal"/>
    <w:next w:val="Normal"/>
    <w:autoRedefine/>
    <w:uiPriority w:val="39"/>
    <w:unhideWhenUsed/>
    <w:rsid w:val="00883F32"/>
    <w:pPr>
      <w:spacing w:before="0" w:after="0"/>
      <w:ind w:left="800"/>
      <w:jc w:val="left"/>
    </w:pPr>
    <w:rPr>
      <w:rFonts w:asciiTheme="minorHAnsi" w:hAnsiTheme="minorHAnsi" w:cstheme="minorHAnsi"/>
      <w:szCs w:val="20"/>
    </w:rPr>
  </w:style>
  <w:style w:type="paragraph" w:styleId="Sumrio7">
    <w:name w:val="toc 7"/>
    <w:basedOn w:val="Normal"/>
    <w:next w:val="Normal"/>
    <w:autoRedefine/>
    <w:uiPriority w:val="39"/>
    <w:unhideWhenUsed/>
    <w:rsid w:val="00883F32"/>
    <w:pPr>
      <w:spacing w:before="0" w:after="0"/>
      <w:ind w:left="1000"/>
      <w:jc w:val="left"/>
    </w:pPr>
    <w:rPr>
      <w:rFonts w:asciiTheme="minorHAnsi" w:hAnsiTheme="minorHAnsi" w:cstheme="minorHAnsi"/>
      <w:szCs w:val="20"/>
    </w:rPr>
  </w:style>
  <w:style w:type="paragraph" w:styleId="Sumrio8">
    <w:name w:val="toc 8"/>
    <w:basedOn w:val="Normal"/>
    <w:next w:val="Normal"/>
    <w:autoRedefine/>
    <w:uiPriority w:val="39"/>
    <w:unhideWhenUsed/>
    <w:rsid w:val="00883F32"/>
    <w:pPr>
      <w:spacing w:before="0" w:after="0"/>
      <w:ind w:left="1200"/>
      <w:jc w:val="left"/>
    </w:pPr>
    <w:rPr>
      <w:rFonts w:asciiTheme="minorHAnsi" w:hAnsiTheme="minorHAnsi" w:cstheme="minorHAnsi"/>
      <w:szCs w:val="20"/>
    </w:rPr>
  </w:style>
  <w:style w:type="paragraph" w:styleId="Ttulo">
    <w:name w:val="Title"/>
    <w:basedOn w:val="Normal"/>
    <w:next w:val="Normal"/>
    <w:link w:val="TtuloChar"/>
    <w:uiPriority w:val="10"/>
    <w:qFormat/>
    <w:rsid w:val="00EF114A"/>
    <w:pPr>
      <w:spacing w:before="0" w:after="0"/>
      <w:contextualSpacing/>
      <w:jc w:val="center"/>
    </w:pPr>
    <w:rPr>
      <w:rFonts w:eastAsiaTheme="majorEastAsia" w:cstheme="majorBidi"/>
      <w:b/>
      <w:caps/>
      <w:spacing w:val="-10"/>
      <w:kern w:val="28"/>
      <w:sz w:val="32"/>
      <w:szCs w:val="56"/>
    </w:rPr>
  </w:style>
  <w:style w:type="character" w:customStyle="1" w:styleId="TtuloChar">
    <w:name w:val="Título Char"/>
    <w:basedOn w:val="Fontepargpadro"/>
    <w:link w:val="Ttulo"/>
    <w:uiPriority w:val="10"/>
    <w:rsid w:val="00EF114A"/>
    <w:rPr>
      <w:rFonts w:ascii="Arial" w:eastAsiaTheme="majorEastAsia" w:hAnsi="Arial" w:cstheme="majorBidi"/>
      <w:b/>
      <w:caps/>
      <w:spacing w:val="-10"/>
      <w:kern w:val="28"/>
      <w:sz w:val="32"/>
      <w:szCs w:val="56"/>
    </w:rPr>
  </w:style>
  <w:style w:type="paragraph" w:styleId="Subttulo">
    <w:name w:val="Subtitle"/>
    <w:basedOn w:val="Normal"/>
    <w:next w:val="Normal"/>
    <w:link w:val="SubttuloChar"/>
    <w:uiPriority w:val="11"/>
    <w:qFormat/>
    <w:rsid w:val="00BC642A"/>
    <w:pPr>
      <w:numPr>
        <w:ilvl w:val="1"/>
      </w:numPr>
      <w:jc w:val="center"/>
    </w:pPr>
    <w:rPr>
      <w:rFonts w:eastAsiaTheme="minorEastAsia"/>
      <w:b/>
      <w:spacing w:val="15"/>
      <w:sz w:val="28"/>
    </w:rPr>
  </w:style>
  <w:style w:type="character" w:customStyle="1" w:styleId="SubttuloChar">
    <w:name w:val="Subtítulo Char"/>
    <w:basedOn w:val="Fontepargpadro"/>
    <w:link w:val="Subttulo"/>
    <w:uiPriority w:val="11"/>
    <w:rsid w:val="00BC642A"/>
    <w:rPr>
      <w:rFonts w:ascii="Arial" w:eastAsiaTheme="minorEastAsia" w:hAnsi="Arial"/>
      <w:b/>
      <w:spacing w:val="15"/>
      <w:sz w:val="28"/>
    </w:rPr>
  </w:style>
  <w:style w:type="paragraph" w:styleId="Legenda">
    <w:name w:val="caption"/>
    <w:basedOn w:val="Normal"/>
    <w:next w:val="Normal"/>
    <w:link w:val="LegendaChar"/>
    <w:uiPriority w:val="35"/>
    <w:unhideWhenUsed/>
    <w:qFormat/>
    <w:rsid w:val="00C858B8"/>
    <w:pPr>
      <w:jc w:val="center"/>
    </w:pPr>
    <w:rPr>
      <w:iCs/>
      <w:sz w:val="16"/>
      <w:szCs w:val="18"/>
    </w:rPr>
  </w:style>
  <w:style w:type="character" w:styleId="nfaseSutil">
    <w:name w:val="Subtle Emphasis"/>
    <w:uiPriority w:val="19"/>
    <w:rsid w:val="005E22C4"/>
  </w:style>
  <w:style w:type="character" w:styleId="nfase">
    <w:name w:val="Emphasis"/>
    <w:basedOn w:val="Fontepargpadro"/>
    <w:uiPriority w:val="20"/>
    <w:qFormat/>
    <w:rsid w:val="00C858B8"/>
    <w:rPr>
      <w:i/>
      <w:iCs/>
    </w:rPr>
  </w:style>
  <w:style w:type="character" w:styleId="nfaseIntensa">
    <w:name w:val="Intense Emphasis"/>
    <w:basedOn w:val="Fontepargpadro"/>
    <w:uiPriority w:val="21"/>
    <w:rsid w:val="00C858B8"/>
    <w:rPr>
      <w:i/>
      <w:iCs/>
      <w:color w:val="4472C4" w:themeColor="accent1"/>
    </w:rPr>
  </w:style>
  <w:style w:type="character" w:styleId="Forte">
    <w:name w:val="Strong"/>
    <w:basedOn w:val="Fontepargpadro"/>
    <w:uiPriority w:val="22"/>
    <w:rsid w:val="00C858B8"/>
    <w:rPr>
      <w:b/>
      <w:bCs/>
    </w:rPr>
  </w:style>
  <w:style w:type="paragraph" w:styleId="Citao">
    <w:name w:val="Quote"/>
    <w:basedOn w:val="Normal"/>
    <w:next w:val="Normal"/>
    <w:link w:val="CitaoChar"/>
    <w:uiPriority w:val="29"/>
    <w:rsid w:val="00A54840"/>
    <w:pPr>
      <w:spacing w:line="240" w:lineRule="auto"/>
      <w:ind w:left="2268"/>
    </w:pPr>
    <w:rPr>
      <w:iCs/>
      <w:sz w:val="18"/>
    </w:rPr>
  </w:style>
  <w:style w:type="character" w:customStyle="1" w:styleId="CitaoChar">
    <w:name w:val="Citação Char"/>
    <w:basedOn w:val="Fontepargpadro"/>
    <w:link w:val="Citao"/>
    <w:uiPriority w:val="29"/>
    <w:rsid w:val="00A54840"/>
    <w:rPr>
      <w:rFonts w:ascii="Arial" w:hAnsi="Arial"/>
      <w:iCs/>
      <w:sz w:val="18"/>
    </w:rPr>
  </w:style>
  <w:style w:type="table" w:styleId="Tabelacomgrade">
    <w:name w:val="Table Grid"/>
    <w:basedOn w:val="Tabelanormal"/>
    <w:uiPriority w:val="39"/>
    <w:rsid w:val="000232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edafigura">
    <w:name w:val="Fonte da figura"/>
    <w:basedOn w:val="Normal"/>
    <w:next w:val="Normal"/>
    <w:link w:val="FontedafiguraChar"/>
    <w:qFormat/>
    <w:rsid w:val="000022D8"/>
    <w:pPr>
      <w:spacing w:before="0"/>
      <w:jc w:val="center"/>
    </w:pPr>
    <w:rPr>
      <w:sz w:val="16"/>
    </w:rPr>
  </w:style>
  <w:style w:type="character" w:customStyle="1" w:styleId="FontedafiguraChar">
    <w:name w:val="Fonte da figura Char"/>
    <w:basedOn w:val="Fontepargpadro"/>
    <w:link w:val="Fontedafigura"/>
    <w:rsid w:val="000022D8"/>
    <w:rPr>
      <w:rFonts w:ascii="Arial" w:hAnsi="Arial"/>
      <w:sz w:val="16"/>
    </w:rPr>
  </w:style>
  <w:style w:type="paragraph" w:styleId="Cabealho">
    <w:name w:val="header"/>
    <w:basedOn w:val="Normal"/>
    <w:link w:val="CabealhoChar"/>
    <w:uiPriority w:val="99"/>
    <w:unhideWhenUsed/>
    <w:rsid w:val="00295770"/>
    <w:pPr>
      <w:tabs>
        <w:tab w:val="center" w:pos="4252"/>
        <w:tab w:val="right" w:pos="8504"/>
      </w:tabs>
      <w:spacing w:before="0" w:after="0" w:line="240" w:lineRule="auto"/>
    </w:pPr>
  </w:style>
  <w:style w:type="character" w:customStyle="1" w:styleId="CabealhoChar">
    <w:name w:val="Cabeçalho Char"/>
    <w:basedOn w:val="Fontepargpadro"/>
    <w:link w:val="Cabealho"/>
    <w:uiPriority w:val="99"/>
    <w:rsid w:val="00295770"/>
    <w:rPr>
      <w:rFonts w:ascii="Arial" w:hAnsi="Arial"/>
      <w:sz w:val="20"/>
    </w:rPr>
  </w:style>
  <w:style w:type="paragraph" w:styleId="Rodap">
    <w:name w:val="footer"/>
    <w:basedOn w:val="Normal"/>
    <w:link w:val="RodapChar"/>
    <w:uiPriority w:val="99"/>
    <w:unhideWhenUsed/>
    <w:rsid w:val="00295770"/>
    <w:pPr>
      <w:tabs>
        <w:tab w:val="center" w:pos="4252"/>
        <w:tab w:val="right" w:pos="8504"/>
      </w:tabs>
      <w:spacing w:before="0" w:after="0" w:line="240" w:lineRule="auto"/>
    </w:pPr>
  </w:style>
  <w:style w:type="character" w:customStyle="1" w:styleId="RodapChar">
    <w:name w:val="Rodapé Char"/>
    <w:basedOn w:val="Fontepargpadro"/>
    <w:link w:val="Rodap"/>
    <w:uiPriority w:val="99"/>
    <w:rsid w:val="00295770"/>
    <w:rPr>
      <w:rFonts w:ascii="Arial" w:hAnsi="Arial"/>
      <w:sz w:val="20"/>
    </w:rPr>
  </w:style>
  <w:style w:type="paragraph" w:customStyle="1" w:styleId="FIGURA">
    <w:name w:val="FIGURA"/>
    <w:basedOn w:val="Normal"/>
    <w:link w:val="FIGURAChar"/>
    <w:qFormat/>
    <w:rsid w:val="00E64C9F"/>
    <w:pPr>
      <w:keepNext/>
      <w:spacing w:before="0" w:after="0" w:line="240" w:lineRule="auto"/>
      <w:jc w:val="center"/>
    </w:pPr>
    <w:rPr>
      <w:noProof/>
    </w:rPr>
  </w:style>
  <w:style w:type="paragraph" w:styleId="ndicedeilustraes">
    <w:name w:val="table of figures"/>
    <w:basedOn w:val="Normal"/>
    <w:next w:val="Normal"/>
    <w:uiPriority w:val="99"/>
    <w:unhideWhenUsed/>
    <w:rsid w:val="00326D20"/>
    <w:pPr>
      <w:spacing w:after="0"/>
    </w:pPr>
  </w:style>
  <w:style w:type="paragraph" w:customStyle="1" w:styleId="TABELAEQUADRO">
    <w:name w:val="TABELA E QUADRO"/>
    <w:basedOn w:val="Normal"/>
    <w:link w:val="TABELAEQUADROChar"/>
    <w:qFormat/>
    <w:rsid w:val="00E64C9F"/>
    <w:pPr>
      <w:spacing w:before="0" w:after="0"/>
      <w:jc w:val="center"/>
    </w:pPr>
    <w:rPr>
      <w:sz w:val="18"/>
    </w:rPr>
  </w:style>
  <w:style w:type="character" w:customStyle="1" w:styleId="FIGURAChar">
    <w:name w:val="FIGURA Char"/>
    <w:basedOn w:val="Fontepargpadro"/>
    <w:link w:val="FIGURA"/>
    <w:rsid w:val="00E64C9F"/>
    <w:rPr>
      <w:rFonts w:ascii="Arial" w:hAnsi="Arial"/>
      <w:noProof/>
      <w:sz w:val="20"/>
    </w:rPr>
  </w:style>
  <w:style w:type="character" w:customStyle="1" w:styleId="TABELAEQUADROChar">
    <w:name w:val="TABELA E QUADRO Char"/>
    <w:basedOn w:val="Fontepargpadro"/>
    <w:link w:val="TABELAEQUADRO"/>
    <w:rsid w:val="00E64C9F"/>
    <w:rPr>
      <w:rFonts w:ascii="Arial" w:hAnsi="Arial"/>
      <w:sz w:val="18"/>
    </w:rPr>
  </w:style>
  <w:style w:type="paragraph" w:customStyle="1" w:styleId="Fontedatabela">
    <w:name w:val="Fonte da tabela"/>
    <w:basedOn w:val="Fontedafigura"/>
    <w:link w:val="FontedatabelaChar"/>
    <w:qFormat/>
    <w:rsid w:val="00452456"/>
    <w:pPr>
      <w:jc w:val="left"/>
    </w:pPr>
  </w:style>
  <w:style w:type="character" w:customStyle="1" w:styleId="FontedatabelaChar">
    <w:name w:val="Fonte da tabela Char"/>
    <w:basedOn w:val="FontedafiguraChar"/>
    <w:link w:val="Fontedatabela"/>
    <w:rsid w:val="00452456"/>
    <w:rPr>
      <w:rFonts w:ascii="Arial" w:hAnsi="Arial"/>
      <w:sz w:val="16"/>
    </w:rPr>
  </w:style>
  <w:style w:type="paragraph" w:customStyle="1" w:styleId="LegendaFiguras">
    <w:name w:val="Legenda Figuras"/>
    <w:basedOn w:val="Legenda"/>
    <w:link w:val="LegendaFigurasChar"/>
    <w:qFormat/>
    <w:rsid w:val="006F529E"/>
  </w:style>
  <w:style w:type="paragraph" w:customStyle="1" w:styleId="Citaes">
    <w:name w:val="Citações"/>
    <w:basedOn w:val="Citao"/>
    <w:link w:val="CitaesChar"/>
    <w:qFormat/>
    <w:rsid w:val="00E3024F"/>
    <w:rPr>
      <w:lang w:val="en-US"/>
    </w:rPr>
  </w:style>
  <w:style w:type="character" w:customStyle="1" w:styleId="LegendaChar">
    <w:name w:val="Legenda Char"/>
    <w:basedOn w:val="Fontepargpadro"/>
    <w:link w:val="Legenda"/>
    <w:uiPriority w:val="35"/>
    <w:rsid w:val="006F529E"/>
    <w:rPr>
      <w:rFonts w:ascii="Arial" w:hAnsi="Arial"/>
      <w:iCs/>
      <w:sz w:val="16"/>
      <w:szCs w:val="18"/>
    </w:rPr>
  </w:style>
  <w:style w:type="character" w:customStyle="1" w:styleId="LegendaFigurasChar">
    <w:name w:val="Legenda Figuras Char"/>
    <w:basedOn w:val="LegendaChar"/>
    <w:link w:val="LegendaFiguras"/>
    <w:rsid w:val="006F529E"/>
    <w:rPr>
      <w:rFonts w:ascii="Arial" w:hAnsi="Arial"/>
      <w:iCs/>
      <w:sz w:val="16"/>
      <w:szCs w:val="18"/>
    </w:rPr>
  </w:style>
  <w:style w:type="character" w:styleId="Refdecomentrio">
    <w:name w:val="annotation reference"/>
    <w:basedOn w:val="Fontepargpadro"/>
    <w:uiPriority w:val="99"/>
    <w:semiHidden/>
    <w:unhideWhenUsed/>
    <w:rsid w:val="00E3024F"/>
    <w:rPr>
      <w:sz w:val="16"/>
      <w:szCs w:val="16"/>
    </w:rPr>
  </w:style>
  <w:style w:type="character" w:customStyle="1" w:styleId="CitaesChar">
    <w:name w:val="Citações Char"/>
    <w:basedOn w:val="CitaoChar"/>
    <w:link w:val="Citaes"/>
    <w:rsid w:val="00E3024F"/>
    <w:rPr>
      <w:rFonts w:ascii="Arial" w:hAnsi="Arial"/>
      <w:iCs/>
      <w:sz w:val="18"/>
      <w:lang w:val="en-US"/>
    </w:rPr>
  </w:style>
  <w:style w:type="paragraph" w:styleId="Textodecomentrio">
    <w:name w:val="annotation text"/>
    <w:basedOn w:val="Normal"/>
    <w:link w:val="TextodecomentrioChar"/>
    <w:uiPriority w:val="99"/>
    <w:unhideWhenUsed/>
    <w:rsid w:val="00E3024F"/>
    <w:pPr>
      <w:spacing w:line="240" w:lineRule="auto"/>
    </w:pPr>
    <w:rPr>
      <w:szCs w:val="20"/>
    </w:rPr>
  </w:style>
  <w:style w:type="character" w:customStyle="1" w:styleId="TextodecomentrioChar">
    <w:name w:val="Texto de comentário Char"/>
    <w:basedOn w:val="Fontepargpadro"/>
    <w:link w:val="Textodecomentrio"/>
    <w:uiPriority w:val="99"/>
    <w:rsid w:val="00E3024F"/>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E3024F"/>
    <w:rPr>
      <w:b/>
      <w:bCs/>
    </w:rPr>
  </w:style>
  <w:style w:type="character" w:customStyle="1" w:styleId="AssuntodocomentrioChar">
    <w:name w:val="Assunto do comentário Char"/>
    <w:basedOn w:val="TextodecomentrioChar"/>
    <w:link w:val="Assuntodocomentrio"/>
    <w:uiPriority w:val="99"/>
    <w:semiHidden/>
    <w:rsid w:val="00E3024F"/>
    <w:rPr>
      <w:rFonts w:ascii="Arial" w:hAnsi="Arial"/>
      <w:b/>
      <w:bCs/>
      <w:sz w:val="20"/>
      <w:szCs w:val="20"/>
    </w:rPr>
  </w:style>
  <w:style w:type="paragraph" w:styleId="Textodebalo">
    <w:name w:val="Balloon Text"/>
    <w:basedOn w:val="Normal"/>
    <w:link w:val="TextodebaloChar"/>
    <w:uiPriority w:val="99"/>
    <w:semiHidden/>
    <w:unhideWhenUsed/>
    <w:rsid w:val="00E3024F"/>
    <w:pPr>
      <w:spacing w:before="0"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E3024F"/>
    <w:rPr>
      <w:rFonts w:ascii="Segoe UI" w:hAnsi="Segoe UI" w:cs="Segoe UI"/>
      <w:sz w:val="18"/>
      <w:szCs w:val="18"/>
    </w:rPr>
  </w:style>
  <w:style w:type="paragraph" w:styleId="PargrafodaLista">
    <w:name w:val="List Paragraph"/>
    <w:basedOn w:val="Normal"/>
    <w:uiPriority w:val="34"/>
    <w:qFormat/>
    <w:rsid w:val="00D27DE2"/>
    <w:pPr>
      <w:ind w:left="720"/>
      <w:contextualSpacing/>
    </w:pPr>
  </w:style>
  <w:style w:type="paragraph" w:customStyle="1" w:styleId="Notadetabela">
    <w:name w:val="Nota de tabela"/>
    <w:basedOn w:val="Fontedatabela"/>
    <w:link w:val="NotadetabelaChar"/>
    <w:qFormat/>
    <w:rsid w:val="00260172"/>
    <w:pPr>
      <w:spacing w:before="160"/>
    </w:pPr>
  </w:style>
  <w:style w:type="character" w:customStyle="1" w:styleId="NotadetabelaChar">
    <w:name w:val="Nota de tabela Char"/>
    <w:basedOn w:val="FontedafiguraChar"/>
    <w:link w:val="Notadetabela"/>
    <w:rsid w:val="00260172"/>
    <w:rPr>
      <w:rFonts w:ascii="Arial" w:hAnsi="Arial"/>
      <w:sz w:val="16"/>
    </w:rPr>
  </w:style>
  <w:style w:type="character" w:styleId="HiperlinkVisitado">
    <w:name w:val="FollowedHyperlink"/>
    <w:basedOn w:val="Fontepargpadro"/>
    <w:uiPriority w:val="99"/>
    <w:semiHidden/>
    <w:unhideWhenUsed/>
    <w:rsid w:val="009E4264"/>
    <w:rPr>
      <w:color w:val="800080"/>
      <w:u w:val="single"/>
    </w:rPr>
  </w:style>
  <w:style w:type="paragraph" w:customStyle="1" w:styleId="font0">
    <w:name w:val="font0"/>
    <w:basedOn w:val="Normal"/>
    <w:rsid w:val="009E4264"/>
    <w:pPr>
      <w:spacing w:before="100" w:beforeAutospacing="1" w:after="100" w:afterAutospacing="1" w:line="240" w:lineRule="auto"/>
      <w:jc w:val="left"/>
    </w:pPr>
    <w:rPr>
      <w:rFonts w:ascii="Calibri" w:eastAsia="Times New Roman" w:hAnsi="Calibri" w:cs="Times New Roman"/>
      <w:color w:val="000000"/>
      <w:sz w:val="22"/>
      <w:lang w:val="en-US"/>
    </w:rPr>
  </w:style>
  <w:style w:type="paragraph" w:customStyle="1" w:styleId="font5">
    <w:name w:val="font5"/>
    <w:basedOn w:val="Normal"/>
    <w:rsid w:val="009E4264"/>
    <w:pPr>
      <w:spacing w:before="100" w:beforeAutospacing="1" w:after="100" w:afterAutospacing="1" w:line="240" w:lineRule="auto"/>
      <w:jc w:val="left"/>
    </w:pPr>
    <w:rPr>
      <w:rFonts w:eastAsia="Times New Roman" w:cs="Arial"/>
      <w:color w:val="000000"/>
      <w:szCs w:val="20"/>
      <w:lang w:val="en-US"/>
    </w:rPr>
  </w:style>
  <w:style w:type="paragraph" w:customStyle="1" w:styleId="font6">
    <w:name w:val="font6"/>
    <w:basedOn w:val="Normal"/>
    <w:rsid w:val="009E4264"/>
    <w:pPr>
      <w:spacing w:before="100" w:beforeAutospacing="1" w:after="100" w:afterAutospacing="1" w:line="240" w:lineRule="auto"/>
      <w:jc w:val="left"/>
    </w:pPr>
    <w:rPr>
      <w:rFonts w:eastAsia="Times New Roman" w:cs="Arial"/>
      <w:i/>
      <w:iCs/>
      <w:color w:val="000000"/>
      <w:szCs w:val="20"/>
      <w:lang w:val="en-US"/>
    </w:rPr>
  </w:style>
  <w:style w:type="paragraph" w:customStyle="1" w:styleId="font7">
    <w:name w:val="font7"/>
    <w:basedOn w:val="Normal"/>
    <w:rsid w:val="009E4264"/>
    <w:pPr>
      <w:spacing w:before="100" w:beforeAutospacing="1" w:after="100" w:afterAutospacing="1" w:line="240" w:lineRule="auto"/>
      <w:jc w:val="left"/>
    </w:pPr>
    <w:rPr>
      <w:rFonts w:eastAsia="Times New Roman" w:cs="Arial"/>
      <w:color w:val="000000"/>
      <w:szCs w:val="20"/>
      <w:lang w:val="en-US"/>
    </w:rPr>
  </w:style>
  <w:style w:type="paragraph" w:customStyle="1" w:styleId="font8">
    <w:name w:val="font8"/>
    <w:basedOn w:val="Normal"/>
    <w:rsid w:val="009E4264"/>
    <w:pPr>
      <w:spacing w:before="100" w:beforeAutospacing="1" w:after="100" w:afterAutospacing="1" w:line="240" w:lineRule="auto"/>
      <w:jc w:val="left"/>
    </w:pPr>
    <w:rPr>
      <w:rFonts w:eastAsia="Times New Roman" w:cs="Arial"/>
      <w:i/>
      <w:iCs/>
      <w:szCs w:val="20"/>
      <w:lang w:val="en-US"/>
    </w:rPr>
  </w:style>
  <w:style w:type="paragraph" w:customStyle="1" w:styleId="font9">
    <w:name w:val="font9"/>
    <w:basedOn w:val="Normal"/>
    <w:rsid w:val="009E4264"/>
    <w:pPr>
      <w:spacing w:before="100" w:beforeAutospacing="1" w:after="100" w:afterAutospacing="1" w:line="240" w:lineRule="auto"/>
      <w:jc w:val="left"/>
    </w:pPr>
    <w:rPr>
      <w:rFonts w:eastAsia="Times New Roman" w:cs="Arial"/>
      <w:szCs w:val="20"/>
      <w:lang w:val="en-US"/>
    </w:rPr>
  </w:style>
  <w:style w:type="paragraph" w:customStyle="1" w:styleId="xl65">
    <w:name w:val="xl65"/>
    <w:basedOn w:val="Normal"/>
    <w:rsid w:val="009E4264"/>
    <w:pPr>
      <w:spacing w:before="100" w:beforeAutospacing="1" w:after="100" w:afterAutospacing="1" w:line="240" w:lineRule="auto"/>
      <w:jc w:val="left"/>
    </w:pPr>
    <w:rPr>
      <w:rFonts w:eastAsia="Times New Roman" w:cs="Arial"/>
      <w:szCs w:val="20"/>
      <w:lang w:val="en-US"/>
    </w:rPr>
  </w:style>
  <w:style w:type="paragraph" w:customStyle="1" w:styleId="xl66">
    <w:name w:val="xl66"/>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szCs w:val="20"/>
      <w:lang w:val="en-US"/>
    </w:rPr>
  </w:style>
  <w:style w:type="paragraph" w:customStyle="1" w:styleId="xl67">
    <w:name w:val="xl67"/>
    <w:basedOn w:val="Normal"/>
    <w:rsid w:val="009E426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pPr>
    <w:rPr>
      <w:rFonts w:eastAsia="Times New Roman" w:cs="Arial"/>
      <w:b/>
      <w:bCs/>
      <w:szCs w:val="20"/>
      <w:lang w:val="en-US"/>
    </w:rPr>
  </w:style>
  <w:style w:type="paragraph" w:customStyle="1" w:styleId="xl68">
    <w:name w:val="xl68"/>
    <w:basedOn w:val="Normal"/>
    <w:rsid w:val="009E426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pPr>
    <w:rPr>
      <w:rFonts w:eastAsia="Times New Roman" w:cs="Arial"/>
      <w:b/>
      <w:bCs/>
      <w:szCs w:val="20"/>
      <w:lang w:val="en-US"/>
    </w:rPr>
  </w:style>
  <w:style w:type="paragraph" w:customStyle="1" w:styleId="xl69">
    <w:name w:val="xl69"/>
    <w:basedOn w:val="Normal"/>
    <w:rsid w:val="009E4264"/>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pPr>
    <w:rPr>
      <w:rFonts w:eastAsia="Times New Roman" w:cs="Arial"/>
      <w:b/>
      <w:bCs/>
      <w:szCs w:val="20"/>
      <w:lang w:val="en-US"/>
    </w:rPr>
  </w:style>
  <w:style w:type="paragraph" w:customStyle="1" w:styleId="xl70">
    <w:name w:val="xl70"/>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i/>
      <w:iCs/>
      <w:szCs w:val="20"/>
      <w:lang w:val="en-US"/>
    </w:rPr>
  </w:style>
  <w:style w:type="paragraph" w:customStyle="1" w:styleId="xl71">
    <w:name w:val="xl71"/>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szCs w:val="20"/>
      <w:lang w:val="en-US"/>
    </w:rPr>
  </w:style>
  <w:style w:type="paragraph" w:customStyle="1" w:styleId="xl72">
    <w:name w:val="xl72"/>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szCs w:val="20"/>
      <w:lang w:val="en-US"/>
    </w:rPr>
  </w:style>
  <w:style w:type="paragraph" w:customStyle="1" w:styleId="xl73">
    <w:name w:val="xl73"/>
    <w:basedOn w:val="Normal"/>
    <w:rsid w:val="009E4264"/>
    <w:pPr>
      <w:spacing w:before="100" w:beforeAutospacing="1" w:after="100" w:afterAutospacing="1" w:line="240" w:lineRule="auto"/>
      <w:jc w:val="center"/>
      <w:textAlignment w:val="center"/>
    </w:pPr>
    <w:rPr>
      <w:rFonts w:eastAsia="Times New Roman" w:cs="Arial"/>
      <w:szCs w:val="20"/>
      <w:lang w:val="en-US"/>
    </w:rPr>
  </w:style>
  <w:style w:type="paragraph" w:customStyle="1" w:styleId="xl74">
    <w:name w:val="xl74"/>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szCs w:val="20"/>
      <w:lang w:val="en-US"/>
    </w:rPr>
  </w:style>
  <w:style w:type="paragraph" w:customStyle="1" w:styleId="xl75">
    <w:name w:val="xl75"/>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szCs w:val="20"/>
      <w:lang w:val="en-US"/>
    </w:rPr>
  </w:style>
  <w:style w:type="paragraph" w:customStyle="1" w:styleId="xl76">
    <w:name w:val="xl76"/>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szCs w:val="20"/>
      <w:lang w:val="en-US"/>
    </w:rPr>
  </w:style>
  <w:style w:type="paragraph" w:customStyle="1" w:styleId="xl77">
    <w:name w:val="xl77"/>
    <w:basedOn w:val="Normal"/>
    <w:rsid w:val="009E426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szCs w:val="20"/>
      <w:lang w:val="en-US"/>
    </w:rPr>
  </w:style>
  <w:style w:type="paragraph" w:customStyle="1" w:styleId="xl78">
    <w:name w:val="xl78"/>
    <w:basedOn w:val="Normal"/>
    <w:rsid w:val="009E426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eastAsia="Times New Roman" w:cs="Arial"/>
      <w:szCs w:val="20"/>
      <w:lang w:val="en-US"/>
    </w:rPr>
  </w:style>
  <w:style w:type="paragraph" w:customStyle="1" w:styleId="xl79">
    <w:name w:val="xl79"/>
    <w:basedOn w:val="Normal"/>
    <w:rsid w:val="009E4264"/>
    <w:pPr>
      <w:spacing w:before="100" w:beforeAutospacing="1" w:after="100" w:afterAutospacing="1" w:line="240" w:lineRule="auto"/>
      <w:jc w:val="center"/>
    </w:pPr>
    <w:rPr>
      <w:rFonts w:eastAsia="Times New Roman" w:cs="Arial"/>
      <w:szCs w:val="20"/>
      <w:lang w:val="en-US"/>
    </w:rPr>
  </w:style>
  <w:style w:type="paragraph" w:customStyle="1" w:styleId="xl80">
    <w:name w:val="xl80"/>
    <w:basedOn w:val="Normal"/>
    <w:rsid w:val="009E4264"/>
    <w:pPr>
      <w:spacing w:before="100" w:beforeAutospacing="1" w:after="100" w:afterAutospacing="1" w:line="240" w:lineRule="auto"/>
      <w:jc w:val="center"/>
    </w:pPr>
    <w:rPr>
      <w:rFonts w:eastAsia="Times New Roman" w:cs="Arial"/>
      <w:szCs w:val="20"/>
      <w:lang w:val="en-US"/>
    </w:rPr>
  </w:style>
  <w:style w:type="character" w:customStyle="1" w:styleId="fontstyle01">
    <w:name w:val="fontstyle01"/>
    <w:basedOn w:val="Fontepargpadro"/>
    <w:rsid w:val="00425EBD"/>
    <w:rPr>
      <w:rFonts w:ascii="Helvetica" w:hAnsi="Helvetica" w:cs="Helvetica" w:hint="default"/>
      <w:b w:val="0"/>
      <w:bCs w:val="0"/>
      <w:i w:val="0"/>
      <w:iCs w:val="0"/>
      <w:color w:val="000000"/>
      <w:sz w:val="24"/>
      <w:szCs w:val="24"/>
    </w:rPr>
  </w:style>
  <w:style w:type="character" w:customStyle="1" w:styleId="fontstyle21">
    <w:name w:val="fontstyle21"/>
    <w:basedOn w:val="Fontepargpadro"/>
    <w:rsid w:val="00425EBD"/>
    <w:rPr>
      <w:rFonts w:ascii="Helvetica-Bold" w:hAnsi="Helvetica-Bold" w:hint="default"/>
      <w:b/>
      <w:bCs/>
      <w:i w:val="0"/>
      <w:iCs w:val="0"/>
      <w:color w:val="000000"/>
      <w:sz w:val="24"/>
      <w:szCs w:val="24"/>
    </w:rPr>
  </w:style>
  <w:style w:type="paragraph" w:styleId="Reviso">
    <w:name w:val="Revision"/>
    <w:hidden/>
    <w:uiPriority w:val="99"/>
    <w:semiHidden/>
    <w:rsid w:val="00B02967"/>
    <w:pPr>
      <w:spacing w:after="0" w:line="240" w:lineRule="auto"/>
    </w:pPr>
    <w:rPr>
      <w:rFonts w:ascii="Arial" w:hAnsi="Arial"/>
      <w:sz w:val="20"/>
    </w:rPr>
  </w:style>
  <w:style w:type="character" w:customStyle="1" w:styleId="nlmstring-name">
    <w:name w:val="nlm_string-name"/>
    <w:basedOn w:val="Fontepargpadro"/>
    <w:rsid w:val="00585E03"/>
  </w:style>
  <w:style w:type="paragraph" w:customStyle="1" w:styleId="Default">
    <w:name w:val="Default"/>
    <w:rsid w:val="00F64E81"/>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unhideWhenUsed/>
    <w:rsid w:val="00CC5042"/>
    <w:pPr>
      <w:spacing w:before="100" w:beforeAutospacing="1" w:after="100" w:afterAutospacing="1" w:line="240" w:lineRule="auto"/>
      <w:jc w:val="left"/>
    </w:pPr>
    <w:rPr>
      <w:rFonts w:ascii="Times New Roman" w:hAnsi="Times New Roman" w:cs="Times New Roman"/>
      <w:sz w:val="24"/>
      <w:szCs w:val="24"/>
      <w:lang w:eastAsia="pt-BR"/>
    </w:rPr>
  </w:style>
  <w:style w:type="paragraph" w:styleId="Textodenotaderodap">
    <w:name w:val="footnote text"/>
    <w:basedOn w:val="Normal"/>
    <w:link w:val="TextodenotaderodapChar"/>
    <w:uiPriority w:val="99"/>
    <w:semiHidden/>
    <w:unhideWhenUsed/>
    <w:rsid w:val="00CE05FB"/>
    <w:pPr>
      <w:spacing w:before="0" w:after="0" w:line="240" w:lineRule="auto"/>
    </w:pPr>
    <w:rPr>
      <w:szCs w:val="20"/>
    </w:rPr>
  </w:style>
  <w:style w:type="character" w:customStyle="1" w:styleId="TextodenotaderodapChar">
    <w:name w:val="Texto de nota de rodapé Char"/>
    <w:basedOn w:val="Fontepargpadro"/>
    <w:link w:val="Textodenotaderodap"/>
    <w:uiPriority w:val="99"/>
    <w:semiHidden/>
    <w:rsid w:val="00CE05FB"/>
    <w:rPr>
      <w:rFonts w:ascii="Arial" w:hAnsi="Arial"/>
      <w:sz w:val="20"/>
      <w:szCs w:val="20"/>
    </w:rPr>
  </w:style>
  <w:style w:type="character" w:styleId="Refdenotaderodap">
    <w:name w:val="footnote reference"/>
    <w:basedOn w:val="Fontepargpadro"/>
    <w:uiPriority w:val="99"/>
    <w:semiHidden/>
    <w:unhideWhenUsed/>
    <w:rsid w:val="00CE05F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2464350">
      <w:bodyDiv w:val="1"/>
      <w:marLeft w:val="0"/>
      <w:marRight w:val="0"/>
      <w:marTop w:val="0"/>
      <w:marBottom w:val="0"/>
      <w:divBdr>
        <w:top w:val="none" w:sz="0" w:space="0" w:color="auto"/>
        <w:left w:val="none" w:sz="0" w:space="0" w:color="auto"/>
        <w:bottom w:val="none" w:sz="0" w:space="0" w:color="auto"/>
        <w:right w:val="none" w:sz="0" w:space="0" w:color="auto"/>
      </w:divBdr>
    </w:div>
    <w:div w:id="49889559">
      <w:bodyDiv w:val="1"/>
      <w:marLeft w:val="0"/>
      <w:marRight w:val="0"/>
      <w:marTop w:val="0"/>
      <w:marBottom w:val="0"/>
      <w:divBdr>
        <w:top w:val="none" w:sz="0" w:space="0" w:color="auto"/>
        <w:left w:val="none" w:sz="0" w:space="0" w:color="auto"/>
        <w:bottom w:val="none" w:sz="0" w:space="0" w:color="auto"/>
        <w:right w:val="none" w:sz="0" w:space="0" w:color="auto"/>
      </w:divBdr>
    </w:div>
    <w:div w:id="51317492">
      <w:bodyDiv w:val="1"/>
      <w:marLeft w:val="0"/>
      <w:marRight w:val="0"/>
      <w:marTop w:val="0"/>
      <w:marBottom w:val="0"/>
      <w:divBdr>
        <w:top w:val="none" w:sz="0" w:space="0" w:color="auto"/>
        <w:left w:val="none" w:sz="0" w:space="0" w:color="auto"/>
        <w:bottom w:val="none" w:sz="0" w:space="0" w:color="auto"/>
        <w:right w:val="none" w:sz="0" w:space="0" w:color="auto"/>
      </w:divBdr>
    </w:div>
    <w:div w:id="69012252">
      <w:bodyDiv w:val="1"/>
      <w:marLeft w:val="0"/>
      <w:marRight w:val="0"/>
      <w:marTop w:val="0"/>
      <w:marBottom w:val="0"/>
      <w:divBdr>
        <w:top w:val="none" w:sz="0" w:space="0" w:color="auto"/>
        <w:left w:val="none" w:sz="0" w:space="0" w:color="auto"/>
        <w:bottom w:val="none" w:sz="0" w:space="0" w:color="auto"/>
        <w:right w:val="none" w:sz="0" w:space="0" w:color="auto"/>
      </w:divBdr>
    </w:div>
    <w:div w:id="120001270">
      <w:bodyDiv w:val="1"/>
      <w:marLeft w:val="0"/>
      <w:marRight w:val="0"/>
      <w:marTop w:val="0"/>
      <w:marBottom w:val="0"/>
      <w:divBdr>
        <w:top w:val="none" w:sz="0" w:space="0" w:color="auto"/>
        <w:left w:val="none" w:sz="0" w:space="0" w:color="auto"/>
        <w:bottom w:val="none" w:sz="0" w:space="0" w:color="auto"/>
        <w:right w:val="none" w:sz="0" w:space="0" w:color="auto"/>
      </w:divBdr>
    </w:div>
    <w:div w:id="214045229">
      <w:bodyDiv w:val="1"/>
      <w:marLeft w:val="0"/>
      <w:marRight w:val="0"/>
      <w:marTop w:val="0"/>
      <w:marBottom w:val="0"/>
      <w:divBdr>
        <w:top w:val="none" w:sz="0" w:space="0" w:color="auto"/>
        <w:left w:val="none" w:sz="0" w:space="0" w:color="auto"/>
        <w:bottom w:val="none" w:sz="0" w:space="0" w:color="auto"/>
        <w:right w:val="none" w:sz="0" w:space="0" w:color="auto"/>
      </w:divBdr>
    </w:div>
    <w:div w:id="571936882">
      <w:bodyDiv w:val="1"/>
      <w:marLeft w:val="0"/>
      <w:marRight w:val="0"/>
      <w:marTop w:val="0"/>
      <w:marBottom w:val="0"/>
      <w:divBdr>
        <w:top w:val="none" w:sz="0" w:space="0" w:color="auto"/>
        <w:left w:val="none" w:sz="0" w:space="0" w:color="auto"/>
        <w:bottom w:val="none" w:sz="0" w:space="0" w:color="auto"/>
        <w:right w:val="none" w:sz="0" w:space="0" w:color="auto"/>
      </w:divBdr>
    </w:div>
    <w:div w:id="606043246">
      <w:bodyDiv w:val="1"/>
      <w:marLeft w:val="0"/>
      <w:marRight w:val="0"/>
      <w:marTop w:val="0"/>
      <w:marBottom w:val="0"/>
      <w:divBdr>
        <w:top w:val="none" w:sz="0" w:space="0" w:color="auto"/>
        <w:left w:val="none" w:sz="0" w:space="0" w:color="auto"/>
        <w:bottom w:val="none" w:sz="0" w:space="0" w:color="auto"/>
        <w:right w:val="none" w:sz="0" w:space="0" w:color="auto"/>
      </w:divBdr>
    </w:div>
    <w:div w:id="633297530">
      <w:bodyDiv w:val="1"/>
      <w:marLeft w:val="0"/>
      <w:marRight w:val="0"/>
      <w:marTop w:val="0"/>
      <w:marBottom w:val="0"/>
      <w:divBdr>
        <w:top w:val="none" w:sz="0" w:space="0" w:color="auto"/>
        <w:left w:val="none" w:sz="0" w:space="0" w:color="auto"/>
        <w:bottom w:val="none" w:sz="0" w:space="0" w:color="auto"/>
        <w:right w:val="none" w:sz="0" w:space="0" w:color="auto"/>
      </w:divBdr>
    </w:div>
    <w:div w:id="645205495">
      <w:bodyDiv w:val="1"/>
      <w:marLeft w:val="0"/>
      <w:marRight w:val="0"/>
      <w:marTop w:val="0"/>
      <w:marBottom w:val="0"/>
      <w:divBdr>
        <w:top w:val="none" w:sz="0" w:space="0" w:color="auto"/>
        <w:left w:val="none" w:sz="0" w:space="0" w:color="auto"/>
        <w:bottom w:val="none" w:sz="0" w:space="0" w:color="auto"/>
        <w:right w:val="none" w:sz="0" w:space="0" w:color="auto"/>
      </w:divBdr>
    </w:div>
    <w:div w:id="698896433">
      <w:bodyDiv w:val="1"/>
      <w:marLeft w:val="0"/>
      <w:marRight w:val="0"/>
      <w:marTop w:val="0"/>
      <w:marBottom w:val="0"/>
      <w:divBdr>
        <w:top w:val="none" w:sz="0" w:space="0" w:color="auto"/>
        <w:left w:val="none" w:sz="0" w:space="0" w:color="auto"/>
        <w:bottom w:val="none" w:sz="0" w:space="0" w:color="auto"/>
        <w:right w:val="none" w:sz="0" w:space="0" w:color="auto"/>
      </w:divBdr>
    </w:div>
    <w:div w:id="701790013">
      <w:bodyDiv w:val="1"/>
      <w:marLeft w:val="0"/>
      <w:marRight w:val="0"/>
      <w:marTop w:val="0"/>
      <w:marBottom w:val="0"/>
      <w:divBdr>
        <w:top w:val="none" w:sz="0" w:space="0" w:color="auto"/>
        <w:left w:val="none" w:sz="0" w:space="0" w:color="auto"/>
        <w:bottom w:val="none" w:sz="0" w:space="0" w:color="auto"/>
        <w:right w:val="none" w:sz="0" w:space="0" w:color="auto"/>
      </w:divBdr>
    </w:div>
    <w:div w:id="816145477">
      <w:bodyDiv w:val="1"/>
      <w:marLeft w:val="0"/>
      <w:marRight w:val="0"/>
      <w:marTop w:val="0"/>
      <w:marBottom w:val="0"/>
      <w:divBdr>
        <w:top w:val="none" w:sz="0" w:space="0" w:color="auto"/>
        <w:left w:val="none" w:sz="0" w:space="0" w:color="auto"/>
        <w:bottom w:val="none" w:sz="0" w:space="0" w:color="auto"/>
        <w:right w:val="none" w:sz="0" w:space="0" w:color="auto"/>
      </w:divBdr>
    </w:div>
    <w:div w:id="894699644">
      <w:bodyDiv w:val="1"/>
      <w:marLeft w:val="0"/>
      <w:marRight w:val="0"/>
      <w:marTop w:val="0"/>
      <w:marBottom w:val="0"/>
      <w:divBdr>
        <w:top w:val="none" w:sz="0" w:space="0" w:color="auto"/>
        <w:left w:val="none" w:sz="0" w:space="0" w:color="auto"/>
        <w:bottom w:val="none" w:sz="0" w:space="0" w:color="auto"/>
        <w:right w:val="none" w:sz="0" w:space="0" w:color="auto"/>
      </w:divBdr>
    </w:div>
    <w:div w:id="919096970">
      <w:bodyDiv w:val="1"/>
      <w:marLeft w:val="0"/>
      <w:marRight w:val="0"/>
      <w:marTop w:val="0"/>
      <w:marBottom w:val="0"/>
      <w:divBdr>
        <w:top w:val="none" w:sz="0" w:space="0" w:color="auto"/>
        <w:left w:val="none" w:sz="0" w:space="0" w:color="auto"/>
        <w:bottom w:val="none" w:sz="0" w:space="0" w:color="auto"/>
        <w:right w:val="none" w:sz="0" w:space="0" w:color="auto"/>
      </w:divBdr>
    </w:div>
    <w:div w:id="939145721">
      <w:bodyDiv w:val="1"/>
      <w:marLeft w:val="0"/>
      <w:marRight w:val="0"/>
      <w:marTop w:val="0"/>
      <w:marBottom w:val="0"/>
      <w:divBdr>
        <w:top w:val="none" w:sz="0" w:space="0" w:color="auto"/>
        <w:left w:val="none" w:sz="0" w:space="0" w:color="auto"/>
        <w:bottom w:val="none" w:sz="0" w:space="0" w:color="auto"/>
        <w:right w:val="none" w:sz="0" w:space="0" w:color="auto"/>
      </w:divBdr>
    </w:div>
    <w:div w:id="1144347859">
      <w:bodyDiv w:val="1"/>
      <w:marLeft w:val="0"/>
      <w:marRight w:val="0"/>
      <w:marTop w:val="0"/>
      <w:marBottom w:val="0"/>
      <w:divBdr>
        <w:top w:val="none" w:sz="0" w:space="0" w:color="auto"/>
        <w:left w:val="none" w:sz="0" w:space="0" w:color="auto"/>
        <w:bottom w:val="none" w:sz="0" w:space="0" w:color="auto"/>
        <w:right w:val="none" w:sz="0" w:space="0" w:color="auto"/>
      </w:divBdr>
    </w:div>
    <w:div w:id="1307902125">
      <w:bodyDiv w:val="1"/>
      <w:marLeft w:val="0"/>
      <w:marRight w:val="0"/>
      <w:marTop w:val="0"/>
      <w:marBottom w:val="0"/>
      <w:divBdr>
        <w:top w:val="none" w:sz="0" w:space="0" w:color="auto"/>
        <w:left w:val="none" w:sz="0" w:space="0" w:color="auto"/>
        <w:bottom w:val="none" w:sz="0" w:space="0" w:color="auto"/>
        <w:right w:val="none" w:sz="0" w:space="0" w:color="auto"/>
      </w:divBdr>
    </w:div>
    <w:div w:id="1526597494">
      <w:bodyDiv w:val="1"/>
      <w:marLeft w:val="0"/>
      <w:marRight w:val="0"/>
      <w:marTop w:val="0"/>
      <w:marBottom w:val="0"/>
      <w:divBdr>
        <w:top w:val="none" w:sz="0" w:space="0" w:color="auto"/>
        <w:left w:val="none" w:sz="0" w:space="0" w:color="auto"/>
        <w:bottom w:val="none" w:sz="0" w:space="0" w:color="auto"/>
        <w:right w:val="none" w:sz="0" w:space="0" w:color="auto"/>
      </w:divBdr>
    </w:div>
    <w:div w:id="1556969529">
      <w:bodyDiv w:val="1"/>
      <w:marLeft w:val="0"/>
      <w:marRight w:val="0"/>
      <w:marTop w:val="0"/>
      <w:marBottom w:val="0"/>
      <w:divBdr>
        <w:top w:val="none" w:sz="0" w:space="0" w:color="auto"/>
        <w:left w:val="none" w:sz="0" w:space="0" w:color="auto"/>
        <w:bottom w:val="none" w:sz="0" w:space="0" w:color="auto"/>
        <w:right w:val="none" w:sz="0" w:space="0" w:color="auto"/>
      </w:divBdr>
    </w:div>
    <w:div w:id="1681197130">
      <w:bodyDiv w:val="1"/>
      <w:marLeft w:val="0"/>
      <w:marRight w:val="0"/>
      <w:marTop w:val="0"/>
      <w:marBottom w:val="0"/>
      <w:divBdr>
        <w:top w:val="none" w:sz="0" w:space="0" w:color="auto"/>
        <w:left w:val="none" w:sz="0" w:space="0" w:color="auto"/>
        <w:bottom w:val="none" w:sz="0" w:space="0" w:color="auto"/>
        <w:right w:val="none" w:sz="0" w:space="0" w:color="auto"/>
      </w:divBdr>
    </w:div>
    <w:div w:id="1771661458">
      <w:bodyDiv w:val="1"/>
      <w:marLeft w:val="0"/>
      <w:marRight w:val="0"/>
      <w:marTop w:val="0"/>
      <w:marBottom w:val="0"/>
      <w:divBdr>
        <w:top w:val="none" w:sz="0" w:space="0" w:color="auto"/>
        <w:left w:val="none" w:sz="0" w:space="0" w:color="auto"/>
        <w:bottom w:val="none" w:sz="0" w:space="0" w:color="auto"/>
        <w:right w:val="none" w:sz="0" w:space="0" w:color="auto"/>
      </w:divBdr>
    </w:div>
    <w:div w:id="1806506685">
      <w:bodyDiv w:val="1"/>
      <w:marLeft w:val="0"/>
      <w:marRight w:val="0"/>
      <w:marTop w:val="0"/>
      <w:marBottom w:val="0"/>
      <w:divBdr>
        <w:top w:val="none" w:sz="0" w:space="0" w:color="auto"/>
        <w:left w:val="none" w:sz="0" w:space="0" w:color="auto"/>
        <w:bottom w:val="none" w:sz="0" w:space="0" w:color="auto"/>
        <w:right w:val="none" w:sz="0" w:space="0" w:color="auto"/>
      </w:divBdr>
    </w:div>
    <w:div w:id="1832671159">
      <w:bodyDiv w:val="1"/>
      <w:marLeft w:val="0"/>
      <w:marRight w:val="0"/>
      <w:marTop w:val="0"/>
      <w:marBottom w:val="0"/>
      <w:divBdr>
        <w:top w:val="none" w:sz="0" w:space="0" w:color="auto"/>
        <w:left w:val="none" w:sz="0" w:space="0" w:color="auto"/>
        <w:bottom w:val="none" w:sz="0" w:space="0" w:color="auto"/>
        <w:right w:val="none" w:sz="0" w:space="0" w:color="auto"/>
      </w:divBdr>
    </w:div>
    <w:div w:id="1882863466">
      <w:bodyDiv w:val="1"/>
      <w:marLeft w:val="0"/>
      <w:marRight w:val="0"/>
      <w:marTop w:val="0"/>
      <w:marBottom w:val="0"/>
      <w:divBdr>
        <w:top w:val="none" w:sz="0" w:space="0" w:color="auto"/>
        <w:left w:val="none" w:sz="0" w:space="0" w:color="auto"/>
        <w:bottom w:val="none" w:sz="0" w:space="0" w:color="auto"/>
        <w:right w:val="none" w:sz="0" w:space="0" w:color="auto"/>
      </w:divBdr>
    </w:div>
    <w:div w:id="1914731997">
      <w:bodyDiv w:val="1"/>
      <w:marLeft w:val="0"/>
      <w:marRight w:val="0"/>
      <w:marTop w:val="0"/>
      <w:marBottom w:val="0"/>
      <w:divBdr>
        <w:top w:val="none" w:sz="0" w:space="0" w:color="auto"/>
        <w:left w:val="none" w:sz="0" w:space="0" w:color="auto"/>
        <w:bottom w:val="none" w:sz="0" w:space="0" w:color="auto"/>
        <w:right w:val="none" w:sz="0" w:space="0" w:color="auto"/>
      </w:divBdr>
    </w:div>
    <w:div w:id="1949580147">
      <w:bodyDiv w:val="1"/>
      <w:marLeft w:val="0"/>
      <w:marRight w:val="0"/>
      <w:marTop w:val="0"/>
      <w:marBottom w:val="0"/>
      <w:divBdr>
        <w:top w:val="none" w:sz="0" w:space="0" w:color="auto"/>
        <w:left w:val="none" w:sz="0" w:space="0" w:color="auto"/>
        <w:bottom w:val="none" w:sz="0" w:space="0" w:color="auto"/>
        <w:right w:val="none" w:sz="0" w:space="0" w:color="auto"/>
      </w:divBdr>
    </w:div>
    <w:div w:id="1999920379">
      <w:bodyDiv w:val="1"/>
      <w:marLeft w:val="0"/>
      <w:marRight w:val="0"/>
      <w:marTop w:val="0"/>
      <w:marBottom w:val="0"/>
      <w:divBdr>
        <w:top w:val="none" w:sz="0" w:space="0" w:color="auto"/>
        <w:left w:val="none" w:sz="0" w:space="0" w:color="auto"/>
        <w:bottom w:val="none" w:sz="0" w:space="0" w:color="auto"/>
        <w:right w:val="none" w:sz="0" w:space="0" w:color="auto"/>
      </w:divBdr>
    </w:div>
    <w:div w:id="209423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emf"/><Relationship Id="rId21" Type="http://schemas.openxmlformats.org/officeDocument/2006/relationships/image" Target="media/image12.emf"/><Relationship Id="rId42" Type="http://schemas.openxmlformats.org/officeDocument/2006/relationships/image" Target="media/image31.emf"/><Relationship Id="rId47" Type="http://schemas.openxmlformats.org/officeDocument/2006/relationships/image" Target="media/image32.emf"/><Relationship Id="rId63" Type="http://schemas.openxmlformats.org/officeDocument/2006/relationships/image" Target="media/image39.emf"/><Relationship Id="rId68" Type="http://schemas.openxmlformats.org/officeDocument/2006/relationships/header" Target="header5.xml"/><Relationship Id="rId84" Type="http://schemas.openxmlformats.org/officeDocument/2006/relationships/header" Target="header7.xml"/><Relationship Id="rId16" Type="http://schemas.openxmlformats.org/officeDocument/2006/relationships/image" Target="media/image7.emf"/><Relationship Id="rId11" Type="http://schemas.openxmlformats.org/officeDocument/2006/relationships/image" Target="media/image4.emf"/><Relationship Id="rId32" Type="http://schemas.openxmlformats.org/officeDocument/2006/relationships/image" Target="media/image21.emf"/><Relationship Id="rId37" Type="http://schemas.openxmlformats.org/officeDocument/2006/relationships/image" Target="media/image26.emf"/><Relationship Id="rId53" Type="http://schemas.openxmlformats.org/officeDocument/2006/relationships/hyperlink" Target="https://pt.wikipedia.org/wiki/Antiss%C3%A9ptico" TargetMode="External"/><Relationship Id="rId58" Type="http://schemas.openxmlformats.org/officeDocument/2006/relationships/image" Target="media/image34.emf"/><Relationship Id="rId74" Type="http://schemas.openxmlformats.org/officeDocument/2006/relationships/image" Target="media/image48.emf"/><Relationship Id="rId79" Type="http://schemas.openxmlformats.org/officeDocument/2006/relationships/image" Target="media/image53.emf"/><Relationship Id="rId5" Type="http://schemas.openxmlformats.org/officeDocument/2006/relationships/webSettings" Target="webSettings.xml"/><Relationship Id="rId19" Type="http://schemas.openxmlformats.org/officeDocument/2006/relationships/image" Target="media/image10.emf"/><Relationship Id="rId14" Type="http://schemas.openxmlformats.org/officeDocument/2006/relationships/header" Target="header2.xml"/><Relationship Id="rId22" Type="http://schemas.openxmlformats.org/officeDocument/2006/relationships/image" Target="media/image13.emf"/><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png"/><Relationship Id="rId43" Type="http://schemas.openxmlformats.org/officeDocument/2006/relationships/hyperlink" Target="https://pt.qwe.wiki/wiki/Redox" TargetMode="External"/><Relationship Id="rId48" Type="http://schemas.openxmlformats.org/officeDocument/2006/relationships/image" Target="media/image33.png"/><Relationship Id="rId56" Type="http://schemas.openxmlformats.org/officeDocument/2006/relationships/hyperlink" Target="https://pt.wikipedia.org/wiki/Inseticida" TargetMode="External"/><Relationship Id="rId64" Type="http://schemas.openxmlformats.org/officeDocument/2006/relationships/image" Target="media/image40.emf"/><Relationship Id="rId69" Type="http://schemas.openxmlformats.org/officeDocument/2006/relationships/header" Target="header6.xml"/><Relationship Id="rId77" Type="http://schemas.openxmlformats.org/officeDocument/2006/relationships/image" Target="media/image51.emf"/><Relationship Id="rId8" Type="http://schemas.openxmlformats.org/officeDocument/2006/relationships/image" Target="media/image1.emf"/><Relationship Id="rId51" Type="http://schemas.openxmlformats.org/officeDocument/2006/relationships/hyperlink" Target="https://pt.wikipedia.org/wiki/Herbicida" TargetMode="External"/><Relationship Id="rId72" Type="http://schemas.openxmlformats.org/officeDocument/2006/relationships/image" Target="media/image46.emf"/><Relationship Id="rId80" Type="http://schemas.openxmlformats.org/officeDocument/2006/relationships/image" Target="media/image54.emf"/><Relationship Id="rId85"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8.emf"/><Relationship Id="rId25" Type="http://schemas.openxmlformats.org/officeDocument/2006/relationships/header" Target="header4.xml"/><Relationship Id="rId33" Type="http://schemas.openxmlformats.org/officeDocument/2006/relationships/image" Target="media/image22.emf"/><Relationship Id="rId38" Type="http://schemas.openxmlformats.org/officeDocument/2006/relationships/image" Target="media/image27.emf"/><Relationship Id="rId46" Type="http://schemas.openxmlformats.org/officeDocument/2006/relationships/hyperlink" Target="https://pt.qwe.wiki/wiki/Stigmasterol" TargetMode="External"/><Relationship Id="rId59" Type="http://schemas.openxmlformats.org/officeDocument/2006/relationships/image" Target="media/image35.emf"/><Relationship Id="rId67" Type="http://schemas.openxmlformats.org/officeDocument/2006/relationships/image" Target="media/image43.emf"/><Relationship Id="rId20" Type="http://schemas.openxmlformats.org/officeDocument/2006/relationships/image" Target="media/image11.emf"/><Relationship Id="rId41" Type="http://schemas.openxmlformats.org/officeDocument/2006/relationships/image" Target="media/image30.emf"/><Relationship Id="rId54" Type="http://schemas.openxmlformats.org/officeDocument/2006/relationships/hyperlink" Target="https://pt.wikipedia.org/wiki/Fungicida" TargetMode="External"/><Relationship Id="rId62" Type="http://schemas.openxmlformats.org/officeDocument/2006/relationships/image" Target="media/image38.emf"/><Relationship Id="rId70" Type="http://schemas.openxmlformats.org/officeDocument/2006/relationships/image" Target="media/image44.emf"/><Relationship Id="rId75" Type="http://schemas.openxmlformats.org/officeDocument/2006/relationships/image" Target="media/image49.emf"/><Relationship Id="rId83" Type="http://schemas.openxmlformats.org/officeDocument/2006/relationships/image" Target="media/image57.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7.emf"/><Relationship Id="rId36" Type="http://schemas.openxmlformats.org/officeDocument/2006/relationships/image" Target="media/image25.emf"/><Relationship Id="rId49" Type="http://schemas.openxmlformats.org/officeDocument/2006/relationships/hyperlink" Target="https://en.wikipedia.org/wiki/2,4-dichlorophenoxyacetic_acid" TargetMode="External"/><Relationship Id="rId57" Type="http://schemas.openxmlformats.org/officeDocument/2006/relationships/hyperlink" Target="https://pt.wikipedia.org/wiki/Antiss%C3%A9ptico" TargetMode="External"/><Relationship Id="rId10" Type="http://schemas.openxmlformats.org/officeDocument/2006/relationships/footer" Target="footer1.xml"/><Relationship Id="rId31" Type="http://schemas.openxmlformats.org/officeDocument/2006/relationships/image" Target="media/image20.png"/><Relationship Id="rId44" Type="http://schemas.openxmlformats.org/officeDocument/2006/relationships/hyperlink" Target="https://pt.qwe.wiki/wiki/%CE%92-Sitosterol" TargetMode="External"/><Relationship Id="rId52" Type="http://schemas.openxmlformats.org/officeDocument/2006/relationships/hyperlink" Target="https://pt.wikipedia.org/wiki/Inseticida" TargetMode="External"/><Relationship Id="rId60" Type="http://schemas.openxmlformats.org/officeDocument/2006/relationships/image" Target="media/image36.emf"/><Relationship Id="rId65" Type="http://schemas.openxmlformats.org/officeDocument/2006/relationships/image" Target="media/image41.emf"/><Relationship Id="rId73" Type="http://schemas.openxmlformats.org/officeDocument/2006/relationships/image" Target="media/image47.emf"/><Relationship Id="rId78" Type="http://schemas.openxmlformats.org/officeDocument/2006/relationships/image" Target="media/image52.emf"/><Relationship Id="rId81" Type="http://schemas.openxmlformats.org/officeDocument/2006/relationships/image" Target="media/image55.emf"/><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2.xml"/><Relationship Id="rId18" Type="http://schemas.openxmlformats.org/officeDocument/2006/relationships/image" Target="media/image9.emf"/><Relationship Id="rId39" Type="http://schemas.openxmlformats.org/officeDocument/2006/relationships/image" Target="media/image28.emf"/><Relationship Id="rId34" Type="http://schemas.openxmlformats.org/officeDocument/2006/relationships/image" Target="media/image23.emf"/><Relationship Id="rId50" Type="http://schemas.openxmlformats.org/officeDocument/2006/relationships/hyperlink" Target="https://pt.wikipedia.org/wiki/Fungicida" TargetMode="External"/><Relationship Id="rId55" Type="http://schemas.openxmlformats.org/officeDocument/2006/relationships/hyperlink" Target="https://pt.wikipedia.org/wiki/Herbicida" TargetMode="External"/><Relationship Id="rId76" Type="http://schemas.openxmlformats.org/officeDocument/2006/relationships/image" Target="media/image50.emf"/><Relationship Id="rId7" Type="http://schemas.openxmlformats.org/officeDocument/2006/relationships/endnotes" Target="endnotes.xml"/><Relationship Id="rId71" Type="http://schemas.openxmlformats.org/officeDocument/2006/relationships/image" Target="media/image45.emf"/><Relationship Id="rId2" Type="http://schemas.openxmlformats.org/officeDocument/2006/relationships/numbering" Target="numbering.xml"/><Relationship Id="rId29" Type="http://schemas.openxmlformats.org/officeDocument/2006/relationships/image" Target="media/image18.emf"/><Relationship Id="rId24" Type="http://schemas.openxmlformats.org/officeDocument/2006/relationships/header" Target="header3.xml"/><Relationship Id="rId40" Type="http://schemas.openxmlformats.org/officeDocument/2006/relationships/image" Target="media/image29.emf"/><Relationship Id="rId45" Type="http://schemas.openxmlformats.org/officeDocument/2006/relationships/hyperlink" Target="https://pt.qwe.wiki/wiki/Hydrogenation" TargetMode="External"/><Relationship Id="rId66" Type="http://schemas.openxmlformats.org/officeDocument/2006/relationships/image" Target="media/image42.emf"/><Relationship Id="rId87" Type="http://schemas.openxmlformats.org/officeDocument/2006/relationships/theme" Target="theme/theme1.xml"/><Relationship Id="rId61" Type="http://schemas.openxmlformats.org/officeDocument/2006/relationships/image" Target="media/image37.emf"/><Relationship Id="rId82" Type="http://schemas.openxmlformats.org/officeDocument/2006/relationships/image" Target="media/image56.emf"/></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CA16A6-8D1E-43B8-ABF3-AF4B52E7F7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13866</Words>
  <Characters>74880</Characters>
  <Application>Microsoft Office Word</Application>
  <DocSecurity>0</DocSecurity>
  <Lines>624</Lines>
  <Paragraphs>177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88569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Bruno</dc:creator>
  <cp:lastModifiedBy>Labogeo UFES</cp:lastModifiedBy>
  <cp:revision>6</cp:revision>
  <cp:lastPrinted>2020-07-07T00:07:00Z</cp:lastPrinted>
  <dcterms:created xsi:type="dcterms:W3CDTF">2020-07-30T11:56:00Z</dcterms:created>
  <dcterms:modified xsi:type="dcterms:W3CDTF">2020-07-30T12:03:00Z</dcterms:modified>
</cp:coreProperties>
</file>